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EB48" w14:textId="5EF8C549" w:rsidR="00003EEB" w:rsidRPr="009218F4" w:rsidRDefault="00B96F29" w:rsidP="009218F4">
      <w:r>
        <w:rPr>
          <w:noProof/>
        </w:rPr>
        <w:drawing>
          <wp:inline distT="0" distB="0" distL="0" distR="0" wp14:anchorId="417D3BCB" wp14:editId="7A508E0E">
            <wp:extent cx="2355448" cy="331928"/>
            <wp:effectExtent l="0" t="0" r="0" b="0"/>
            <wp:docPr id="101687100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71002" name="Picture 1"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6150" cy="339073"/>
                    </a:xfrm>
                    <a:prstGeom prst="rect">
                      <a:avLst/>
                    </a:prstGeom>
                  </pic:spPr>
                </pic:pic>
              </a:graphicData>
            </a:graphic>
          </wp:inline>
        </w:drawing>
      </w:r>
    </w:p>
    <w:p w14:paraId="70BD9AF6" w14:textId="42E1D4EE" w:rsidR="0060596C" w:rsidRDefault="00A14771" w:rsidP="009218F4">
      <w:pPr>
        <w:jc w:val="center"/>
        <w:rPr>
          <w:b/>
          <w:bCs/>
          <w:sz w:val="28"/>
          <w:szCs w:val="28"/>
        </w:rPr>
      </w:pPr>
      <w:r w:rsidRPr="00003EEB">
        <w:rPr>
          <w:b/>
          <w:bCs/>
          <w:sz w:val="28"/>
          <w:szCs w:val="28"/>
        </w:rPr>
        <w:t xml:space="preserve">Speaker </w:t>
      </w:r>
      <w:r w:rsidR="0089764A">
        <w:rPr>
          <w:b/>
          <w:bCs/>
          <w:sz w:val="28"/>
          <w:szCs w:val="28"/>
        </w:rPr>
        <w:t>G</w:t>
      </w:r>
      <w:r w:rsidRPr="00003EEB">
        <w:rPr>
          <w:b/>
          <w:bCs/>
          <w:sz w:val="28"/>
          <w:szCs w:val="28"/>
        </w:rPr>
        <w:t>uidelines</w:t>
      </w:r>
      <w:r w:rsidR="00B96F29" w:rsidRPr="00003EEB">
        <w:rPr>
          <w:b/>
          <w:bCs/>
          <w:sz w:val="28"/>
          <w:szCs w:val="28"/>
        </w:rPr>
        <w:t xml:space="preserve"> for </w:t>
      </w:r>
      <w:r w:rsidR="00730816">
        <w:rPr>
          <w:b/>
          <w:bCs/>
          <w:sz w:val="28"/>
          <w:szCs w:val="28"/>
        </w:rPr>
        <w:t xml:space="preserve">Feinberg School of Medicine </w:t>
      </w:r>
      <w:r w:rsidR="00B96F29" w:rsidRPr="00003EEB">
        <w:rPr>
          <w:b/>
          <w:bCs/>
          <w:sz w:val="28"/>
          <w:szCs w:val="28"/>
        </w:rPr>
        <w:t xml:space="preserve">CME </w:t>
      </w:r>
      <w:r w:rsidR="0089764A">
        <w:rPr>
          <w:b/>
          <w:bCs/>
          <w:sz w:val="28"/>
          <w:szCs w:val="28"/>
        </w:rPr>
        <w:t>A</w:t>
      </w:r>
      <w:r w:rsidR="00B96F29" w:rsidRPr="00003EEB">
        <w:rPr>
          <w:b/>
          <w:bCs/>
          <w:sz w:val="28"/>
          <w:szCs w:val="28"/>
        </w:rPr>
        <w:t>ctivities</w:t>
      </w:r>
    </w:p>
    <w:p w14:paraId="5FC0B6E7" w14:textId="6A28B210" w:rsidR="0060596C" w:rsidRPr="0060596C" w:rsidRDefault="0060596C" w:rsidP="0060596C">
      <w:pPr>
        <w:spacing w:line="256" w:lineRule="auto"/>
        <w:rPr>
          <w:rFonts w:ascii="Calibri" w:eastAsia="Calibri" w:hAnsi="Calibri" w:cs="Calibri"/>
          <w:kern w:val="0"/>
          <w14:ligatures w14:val="none"/>
        </w:rPr>
      </w:pPr>
      <w:r w:rsidRPr="0060596C">
        <w:rPr>
          <w:rFonts w:ascii="Calibri" w:eastAsia="Calibri" w:hAnsi="Calibri" w:cs="Calibri"/>
          <w:kern w:val="0"/>
          <w14:ligatures w14:val="none"/>
        </w:rPr>
        <w:t>We are looking forward to your participation in our upcoming CME activity</w:t>
      </w:r>
      <w:r w:rsidR="008A1072">
        <w:rPr>
          <w:rFonts w:ascii="Calibri" w:eastAsia="Calibri" w:hAnsi="Calibri" w:cs="Calibri"/>
          <w:kern w:val="0"/>
          <w14:ligatures w14:val="none"/>
        </w:rPr>
        <w:t xml:space="preserve"> </w:t>
      </w:r>
      <w:r w:rsidR="008A1072" w:rsidRPr="004C114A">
        <w:rPr>
          <w:rFonts w:ascii="Calibri" w:eastAsia="Calibri" w:hAnsi="Calibri" w:cs="Calibri"/>
          <w:kern w:val="0"/>
          <w:highlight w:val="yellow"/>
          <w14:ligatures w14:val="none"/>
        </w:rPr>
        <w:t>[INSERT TITLE</w:t>
      </w:r>
      <w:r w:rsidR="004C114A" w:rsidRPr="004C114A">
        <w:rPr>
          <w:rFonts w:ascii="Calibri" w:eastAsia="Calibri" w:hAnsi="Calibri" w:cs="Calibri"/>
          <w:kern w:val="0"/>
          <w:highlight w:val="yellow"/>
          <w14:ligatures w14:val="none"/>
        </w:rPr>
        <w:t xml:space="preserve"> and DATE]</w:t>
      </w:r>
      <w:r w:rsidR="00730816">
        <w:rPr>
          <w:rFonts w:ascii="Calibri" w:eastAsia="Calibri" w:hAnsi="Calibri" w:cs="Calibri"/>
          <w:kern w:val="0"/>
          <w14:ligatures w14:val="none"/>
        </w:rPr>
        <w:t xml:space="preserve">. </w:t>
      </w:r>
      <w:r w:rsidRPr="0060596C">
        <w:rPr>
          <w:rFonts w:ascii="Calibri" w:eastAsia="Calibri" w:hAnsi="Calibri" w:cs="Calibri"/>
          <w:kern w:val="0"/>
          <w14:ligatures w14:val="none"/>
        </w:rPr>
        <w:t xml:space="preserve">We appreciate your </w:t>
      </w:r>
      <w:r w:rsidR="0028253E">
        <w:rPr>
          <w:rFonts w:ascii="Calibri" w:eastAsia="Calibri" w:hAnsi="Calibri" w:cs="Calibri"/>
          <w:kern w:val="0"/>
          <w14:ligatures w14:val="none"/>
        </w:rPr>
        <w:t>partnership</w:t>
      </w:r>
      <w:r w:rsidR="00131B9B">
        <w:rPr>
          <w:rFonts w:ascii="Calibri" w:eastAsia="Calibri" w:hAnsi="Calibri" w:cs="Calibri"/>
          <w:kern w:val="0"/>
          <w14:ligatures w14:val="none"/>
        </w:rPr>
        <w:t xml:space="preserve"> in</w:t>
      </w:r>
      <w:r w:rsidRPr="0060596C">
        <w:rPr>
          <w:rFonts w:ascii="Calibri" w:eastAsia="Calibri" w:hAnsi="Calibri" w:cs="Calibri"/>
          <w:kern w:val="0"/>
          <w14:ligatures w14:val="none"/>
        </w:rPr>
        <w:t xml:space="preserve"> creat</w:t>
      </w:r>
      <w:r w:rsidR="009842F3">
        <w:rPr>
          <w:rFonts w:ascii="Calibri" w:eastAsia="Calibri" w:hAnsi="Calibri" w:cs="Calibri"/>
          <w:kern w:val="0"/>
          <w14:ligatures w14:val="none"/>
        </w:rPr>
        <w:t>ing</w:t>
      </w:r>
      <w:r w:rsidRPr="0060596C">
        <w:rPr>
          <w:rFonts w:ascii="Calibri" w:eastAsia="Calibri" w:hAnsi="Calibri" w:cs="Calibri"/>
          <w:kern w:val="0"/>
          <w14:ligatures w14:val="none"/>
        </w:rPr>
        <w:t xml:space="preserve"> a supportive learning culture where education is high-quality, collaborative, bias-free, and independent of industry influence.</w:t>
      </w:r>
    </w:p>
    <w:p w14:paraId="4584897B" w14:textId="126D00C7" w:rsidR="0060596C" w:rsidRDefault="008E5693" w:rsidP="00CB27C2">
      <w:pPr>
        <w:spacing w:after="0" w:line="256" w:lineRule="auto"/>
        <w:rPr>
          <w:rFonts w:ascii="Calibri" w:eastAsia="Calibri" w:hAnsi="Calibri" w:cs="Calibri"/>
          <w:kern w:val="0"/>
          <w14:ligatures w14:val="none"/>
        </w:rPr>
      </w:pPr>
      <w:r w:rsidRPr="008E5693">
        <w:rPr>
          <w:rFonts w:ascii="Calibri" w:eastAsia="Calibri" w:hAnsi="Calibri" w:cs="Calibri"/>
          <w:kern w:val="0"/>
          <w14:ligatures w14:val="none"/>
        </w:rPr>
        <w:t>Healthcare professionals serve as trusted sources of information for patients and have a responsibility to maintain a learning environment that is free from bias</w:t>
      </w:r>
      <w:r w:rsidR="00305932" w:rsidRPr="00305932">
        <w:rPr>
          <w:rFonts w:ascii="Calibri" w:eastAsia="Calibri" w:hAnsi="Calibri" w:cs="Calibri"/>
          <w:kern w:val="0"/>
          <w14:ligatures w14:val="none"/>
        </w:rPr>
        <w:t>. Financial relationships with ineligible companies are common. By identifying and mitigating relevant financial relationship</w:t>
      </w:r>
      <w:r w:rsidR="00305932">
        <w:rPr>
          <w:rFonts w:ascii="Calibri" w:eastAsia="Calibri" w:hAnsi="Calibri" w:cs="Calibri"/>
          <w:kern w:val="0"/>
          <w14:ligatures w14:val="none"/>
        </w:rPr>
        <w:t>s</w:t>
      </w:r>
      <w:r w:rsidR="00305932" w:rsidRPr="00305932">
        <w:rPr>
          <w:rFonts w:ascii="Calibri" w:eastAsia="Calibri" w:hAnsi="Calibri" w:cs="Calibri"/>
          <w:kern w:val="0"/>
          <w14:ligatures w14:val="none"/>
        </w:rPr>
        <w:t xml:space="preserve">, we can protect the learning environment from industry </w:t>
      </w:r>
      <w:r w:rsidR="00C94AD3">
        <w:rPr>
          <w:rFonts w:ascii="Calibri" w:eastAsia="Calibri" w:hAnsi="Calibri" w:cs="Calibri"/>
          <w:kern w:val="0"/>
          <w14:ligatures w14:val="none"/>
        </w:rPr>
        <w:t>influence</w:t>
      </w:r>
      <w:r w:rsidR="00305932" w:rsidRPr="00305932">
        <w:rPr>
          <w:rFonts w:ascii="Calibri" w:eastAsia="Calibri" w:hAnsi="Calibri" w:cs="Calibri"/>
          <w:kern w:val="0"/>
          <w14:ligatures w14:val="none"/>
        </w:rPr>
        <w:t xml:space="preserve">. </w:t>
      </w:r>
    </w:p>
    <w:p w14:paraId="2000428D" w14:textId="77777777" w:rsidR="00CB27C2" w:rsidRDefault="00CB27C2" w:rsidP="00D63CCE">
      <w:pPr>
        <w:spacing w:after="0" w:line="256" w:lineRule="auto"/>
        <w:rPr>
          <w:rFonts w:ascii="Calibri" w:eastAsia="Calibri" w:hAnsi="Calibri" w:cs="Calibri"/>
          <w:kern w:val="0"/>
          <w14:ligatures w14:val="none"/>
        </w:rPr>
      </w:pPr>
    </w:p>
    <w:p w14:paraId="765ADB60" w14:textId="77777777" w:rsidR="000440DA" w:rsidRPr="00271AB6" w:rsidRDefault="000440DA" w:rsidP="000440DA">
      <w:pPr>
        <w:spacing w:after="0" w:line="240" w:lineRule="auto"/>
        <w:rPr>
          <w:rFonts w:eastAsia="Times New Roman" w:cstheme="minorHAnsi"/>
          <w:bCs/>
          <w:spacing w:val="-1"/>
        </w:rPr>
      </w:pPr>
      <w:r w:rsidRPr="00271AB6">
        <w:rPr>
          <w:rFonts w:eastAsia="Times New Roman" w:cstheme="minorHAnsi"/>
          <w:b/>
          <w:bCs/>
          <w:spacing w:val="-1"/>
        </w:rPr>
        <w:t>Speaker Compliance Checklist</w:t>
      </w:r>
    </w:p>
    <w:p w14:paraId="169EEE8F" w14:textId="4C9535AC" w:rsidR="000440DA" w:rsidRPr="00271AB6" w:rsidRDefault="000440DA" w:rsidP="009842F3">
      <w:pPr>
        <w:spacing w:after="0" w:line="240" w:lineRule="auto"/>
        <w:ind w:firstLine="360"/>
        <w:rPr>
          <w:rFonts w:eastAsia="Times New Roman" w:cstheme="minorHAnsi"/>
          <w:bCs/>
          <w:spacing w:val="-1"/>
        </w:rPr>
      </w:pPr>
      <w:r w:rsidRPr="00271AB6">
        <w:rPr>
          <w:rFonts w:ascii="Segoe UI Symbol" w:eastAsia="Times New Roman" w:hAnsi="Segoe UI Symbol" w:cs="Segoe UI Symbol"/>
          <w:bCs/>
          <w:spacing w:val="-1"/>
        </w:rPr>
        <w:t>☐</w:t>
      </w:r>
      <w:r w:rsidRPr="00271AB6">
        <w:rPr>
          <w:rFonts w:eastAsia="Times New Roman" w:cstheme="minorHAnsi"/>
          <w:bCs/>
          <w:spacing w:val="-1"/>
        </w:rPr>
        <w:t xml:space="preserve"> </w:t>
      </w:r>
      <w:r w:rsidR="00000A58">
        <w:rPr>
          <w:rFonts w:eastAsia="Times New Roman" w:cstheme="minorHAnsi"/>
          <w:bCs/>
          <w:spacing w:val="-1"/>
        </w:rPr>
        <w:t xml:space="preserve">Feinberg </w:t>
      </w:r>
      <w:r w:rsidR="00A36B70">
        <w:rPr>
          <w:rFonts w:eastAsia="Times New Roman" w:cstheme="minorHAnsi"/>
          <w:bCs/>
          <w:spacing w:val="-1"/>
        </w:rPr>
        <w:t>CME d</w:t>
      </w:r>
      <w:r w:rsidRPr="00271AB6">
        <w:rPr>
          <w:rFonts w:eastAsia="Times New Roman" w:cstheme="minorHAnsi"/>
          <w:bCs/>
          <w:spacing w:val="-1"/>
        </w:rPr>
        <w:t>isclosure form completed and up to date</w:t>
      </w:r>
    </w:p>
    <w:p w14:paraId="6A32A103" w14:textId="63DBADA7" w:rsidR="000440DA" w:rsidRPr="00271AB6" w:rsidRDefault="000440DA" w:rsidP="009842F3">
      <w:pPr>
        <w:spacing w:after="0" w:line="240" w:lineRule="auto"/>
        <w:ind w:left="360"/>
        <w:rPr>
          <w:rFonts w:eastAsia="Times New Roman" w:cstheme="minorHAnsi"/>
          <w:bCs/>
          <w:spacing w:val="-1"/>
        </w:rPr>
      </w:pPr>
      <w:r w:rsidRPr="00271AB6">
        <w:rPr>
          <w:rFonts w:ascii="Segoe UI Symbol" w:eastAsia="Times New Roman" w:hAnsi="Segoe UI Symbol" w:cs="Segoe UI Symbol"/>
          <w:bCs/>
          <w:spacing w:val="-1"/>
        </w:rPr>
        <w:t>☐</w:t>
      </w:r>
      <w:r w:rsidRPr="00271AB6">
        <w:rPr>
          <w:rFonts w:eastAsia="Times New Roman" w:cstheme="minorHAnsi"/>
          <w:bCs/>
          <w:spacing w:val="-1"/>
        </w:rPr>
        <w:t xml:space="preserve"> Content free of </w:t>
      </w:r>
      <w:r w:rsidR="003B204C">
        <w:rPr>
          <w:rFonts w:eastAsia="Times New Roman" w:cstheme="minorHAnsi"/>
          <w:bCs/>
          <w:spacing w:val="-1"/>
        </w:rPr>
        <w:t>industry</w:t>
      </w:r>
      <w:r w:rsidRPr="00271AB6">
        <w:rPr>
          <w:rFonts w:eastAsia="Times New Roman" w:cstheme="minorHAnsi"/>
          <w:bCs/>
          <w:spacing w:val="-1"/>
        </w:rPr>
        <w:t xml:space="preserve"> bias</w:t>
      </w:r>
    </w:p>
    <w:p w14:paraId="3357F1B8" w14:textId="77777777" w:rsidR="000440DA" w:rsidRPr="00271AB6" w:rsidRDefault="000440DA" w:rsidP="009842F3">
      <w:pPr>
        <w:spacing w:after="0" w:line="240" w:lineRule="auto"/>
        <w:ind w:left="360"/>
        <w:rPr>
          <w:rFonts w:eastAsia="Times New Roman" w:cstheme="minorHAnsi"/>
          <w:bCs/>
          <w:spacing w:val="-1"/>
        </w:rPr>
      </w:pPr>
      <w:r w:rsidRPr="00271AB6">
        <w:rPr>
          <w:rFonts w:ascii="Segoe UI Symbol" w:eastAsia="Times New Roman" w:hAnsi="Segoe UI Symbol" w:cs="Segoe UI Symbol"/>
          <w:bCs/>
          <w:spacing w:val="-1"/>
        </w:rPr>
        <w:t>☐</w:t>
      </w:r>
      <w:r w:rsidRPr="00271AB6">
        <w:rPr>
          <w:rFonts w:eastAsia="Times New Roman" w:cstheme="minorHAnsi"/>
          <w:bCs/>
          <w:spacing w:val="-1"/>
        </w:rPr>
        <w:t xml:space="preserve"> Generic names used </w:t>
      </w:r>
    </w:p>
    <w:p w14:paraId="4FE0DC76" w14:textId="77777777" w:rsidR="000440DA" w:rsidRDefault="000440DA" w:rsidP="009842F3">
      <w:pPr>
        <w:spacing w:after="0" w:line="240" w:lineRule="auto"/>
        <w:ind w:left="360"/>
        <w:rPr>
          <w:rFonts w:eastAsia="Times New Roman" w:cstheme="minorHAnsi"/>
          <w:bCs/>
          <w:spacing w:val="-1"/>
        </w:rPr>
      </w:pPr>
      <w:r w:rsidRPr="00271AB6">
        <w:rPr>
          <w:rFonts w:ascii="Segoe UI Symbol" w:eastAsia="Times New Roman" w:hAnsi="Segoe UI Symbol" w:cs="Segoe UI Symbol"/>
          <w:bCs/>
          <w:spacing w:val="-1"/>
        </w:rPr>
        <w:t>☐</w:t>
      </w:r>
      <w:r w:rsidRPr="00271AB6">
        <w:rPr>
          <w:rFonts w:eastAsia="Times New Roman" w:cstheme="minorHAnsi"/>
          <w:bCs/>
          <w:spacing w:val="-1"/>
        </w:rPr>
        <w:t xml:space="preserve"> No commercial logos included</w:t>
      </w:r>
    </w:p>
    <w:p w14:paraId="3B2B73C3" w14:textId="3F24A167" w:rsidR="009842F3" w:rsidRDefault="009842F3" w:rsidP="009842F3">
      <w:pPr>
        <w:spacing w:after="0" w:line="240" w:lineRule="auto"/>
        <w:ind w:left="360"/>
        <w:rPr>
          <w:rFonts w:eastAsia="Times New Roman" w:cstheme="minorHAnsi"/>
          <w:bCs/>
          <w:spacing w:val="-1"/>
        </w:rPr>
      </w:pPr>
      <w:r w:rsidRPr="00271AB6">
        <w:rPr>
          <w:rFonts w:ascii="Segoe UI Symbol" w:eastAsia="Times New Roman" w:hAnsi="Segoe UI Symbol" w:cs="Segoe UI Symbol"/>
          <w:bCs/>
          <w:spacing w:val="-1"/>
        </w:rPr>
        <w:t>☐</w:t>
      </w:r>
      <w:r w:rsidRPr="00271AB6">
        <w:rPr>
          <w:rFonts w:eastAsia="Times New Roman" w:cstheme="minorHAnsi"/>
          <w:bCs/>
          <w:spacing w:val="-1"/>
        </w:rPr>
        <w:t xml:space="preserve"> </w:t>
      </w:r>
      <w:r>
        <w:rPr>
          <w:rFonts w:eastAsia="Times New Roman" w:cstheme="minorHAnsi"/>
          <w:bCs/>
          <w:spacing w:val="-1"/>
        </w:rPr>
        <w:t>Use of artificial intelligence (AI) is reviewed for accuracy and bias</w:t>
      </w:r>
      <w:r w:rsidR="0037368E">
        <w:rPr>
          <w:rFonts w:eastAsia="Times New Roman" w:cstheme="minorHAnsi"/>
          <w:bCs/>
          <w:spacing w:val="-1"/>
        </w:rPr>
        <w:t>,</w:t>
      </w:r>
      <w:r>
        <w:rPr>
          <w:rFonts w:eastAsia="Times New Roman" w:cstheme="minorHAnsi"/>
          <w:bCs/>
          <w:spacing w:val="-1"/>
        </w:rPr>
        <w:t xml:space="preserve"> and is disclosed </w:t>
      </w:r>
      <w:r w:rsidR="00145F18">
        <w:rPr>
          <w:rFonts w:eastAsia="Times New Roman" w:cstheme="minorHAnsi"/>
          <w:bCs/>
          <w:spacing w:val="-1"/>
        </w:rPr>
        <w:t>to learners</w:t>
      </w:r>
    </w:p>
    <w:p w14:paraId="007672B0" w14:textId="77777777" w:rsidR="000440DA" w:rsidRPr="00271AB6" w:rsidRDefault="000440DA" w:rsidP="009842F3">
      <w:pPr>
        <w:spacing w:after="0" w:line="240" w:lineRule="auto"/>
        <w:ind w:left="360"/>
        <w:rPr>
          <w:rFonts w:eastAsia="Times New Roman" w:cstheme="minorHAnsi"/>
          <w:bCs/>
          <w:spacing w:val="-1"/>
        </w:rPr>
      </w:pPr>
      <w:r w:rsidRPr="00271AB6">
        <w:rPr>
          <w:rFonts w:ascii="Segoe UI Symbol" w:eastAsia="Times New Roman" w:hAnsi="Segoe UI Symbol" w:cs="Segoe UI Symbol"/>
          <w:bCs/>
          <w:spacing w:val="-1"/>
        </w:rPr>
        <w:t>☐</w:t>
      </w:r>
      <w:r w:rsidRPr="00271AB6">
        <w:rPr>
          <w:rFonts w:eastAsia="Times New Roman" w:cstheme="minorHAnsi"/>
          <w:bCs/>
          <w:spacing w:val="-1"/>
        </w:rPr>
        <w:t xml:space="preserve"> </w:t>
      </w:r>
      <w:r>
        <w:rPr>
          <w:rFonts w:eastAsia="Times New Roman" w:cstheme="minorHAnsi"/>
          <w:bCs/>
          <w:spacing w:val="-1"/>
        </w:rPr>
        <w:t>Strategies implemented to promote a collaborative learning culture</w:t>
      </w:r>
    </w:p>
    <w:p w14:paraId="556DF4F2" w14:textId="64E20668" w:rsidR="000440DA" w:rsidRDefault="000440DA" w:rsidP="009842F3">
      <w:pPr>
        <w:spacing w:after="0" w:line="240" w:lineRule="auto"/>
        <w:ind w:left="360"/>
        <w:rPr>
          <w:rFonts w:eastAsia="Times New Roman" w:cstheme="minorHAnsi"/>
          <w:bCs/>
          <w:spacing w:val="-1"/>
        </w:rPr>
      </w:pPr>
      <w:r w:rsidRPr="00271AB6">
        <w:rPr>
          <w:rFonts w:ascii="Segoe UI Symbol" w:eastAsia="Times New Roman" w:hAnsi="Segoe UI Symbol" w:cs="Segoe UI Symbol"/>
          <w:bCs/>
          <w:spacing w:val="-1"/>
        </w:rPr>
        <w:t>☐</w:t>
      </w:r>
      <w:r w:rsidRPr="00271AB6">
        <w:rPr>
          <w:rFonts w:eastAsia="Times New Roman" w:cstheme="minorHAnsi"/>
          <w:bCs/>
          <w:spacing w:val="-1"/>
        </w:rPr>
        <w:t xml:space="preserve"> </w:t>
      </w:r>
      <w:r w:rsidR="00EE7ECE">
        <w:rPr>
          <w:rFonts w:eastAsia="Times New Roman" w:cstheme="minorHAnsi"/>
          <w:bCs/>
          <w:spacing w:val="-1"/>
        </w:rPr>
        <w:t>Submit slides by</w:t>
      </w:r>
      <w:r w:rsidR="00BC612A" w:rsidRPr="00D63CCE">
        <w:rPr>
          <w:rFonts w:eastAsia="Times New Roman" w:cstheme="minorHAnsi"/>
          <w:b/>
          <w:spacing w:val="-1"/>
        </w:rPr>
        <w:t xml:space="preserve"> </w:t>
      </w:r>
      <w:r w:rsidR="00BC612A" w:rsidRPr="00D63CCE">
        <w:rPr>
          <w:rFonts w:eastAsia="Times New Roman" w:cstheme="minorHAnsi"/>
          <w:b/>
          <w:spacing w:val="-1"/>
          <w:highlight w:val="yellow"/>
        </w:rPr>
        <w:t>[INSERT DATE]</w:t>
      </w:r>
      <w:r w:rsidR="003A41D4" w:rsidRPr="00D63CCE">
        <w:rPr>
          <w:rFonts w:eastAsia="Times New Roman" w:cstheme="minorHAnsi"/>
          <w:b/>
          <w:spacing w:val="-1"/>
        </w:rPr>
        <w:t xml:space="preserve"> </w:t>
      </w:r>
      <w:r w:rsidR="003A41D4">
        <w:rPr>
          <w:rFonts w:eastAsia="Times New Roman" w:cstheme="minorHAnsi"/>
          <w:bCs/>
          <w:spacing w:val="-1"/>
        </w:rPr>
        <w:t>for review</w:t>
      </w:r>
    </w:p>
    <w:p w14:paraId="49249F55" w14:textId="77777777" w:rsidR="00606F98" w:rsidRPr="00606F98" w:rsidRDefault="00606F98" w:rsidP="00606F98">
      <w:pPr>
        <w:spacing w:after="0" w:line="240" w:lineRule="auto"/>
        <w:ind w:left="720"/>
        <w:rPr>
          <w:rFonts w:eastAsia="Times New Roman" w:cstheme="minorHAnsi"/>
          <w:bCs/>
          <w:spacing w:val="-1"/>
        </w:rPr>
      </w:pPr>
    </w:p>
    <w:p w14:paraId="2C30E932" w14:textId="033161BF" w:rsidR="00A14771" w:rsidRPr="00F11A3D" w:rsidRDefault="00A14771">
      <w:pPr>
        <w:rPr>
          <w:b/>
          <w:bCs/>
        </w:rPr>
      </w:pPr>
      <w:r w:rsidRPr="00F11A3D">
        <w:rPr>
          <w:b/>
          <w:bCs/>
        </w:rPr>
        <w:t>Disclosures:</w:t>
      </w:r>
    </w:p>
    <w:p w14:paraId="083413D6" w14:textId="2EB04601" w:rsidR="00B96F29" w:rsidRDefault="00B96F29" w:rsidP="00B96F29">
      <w:pPr>
        <w:pStyle w:val="ListParagraph"/>
        <w:numPr>
          <w:ilvl w:val="0"/>
          <w:numId w:val="2"/>
        </w:numPr>
      </w:pPr>
      <w:r>
        <w:t>All speakers,</w:t>
      </w:r>
      <w:r w:rsidR="009842F3">
        <w:t xml:space="preserve"> moderators,</w:t>
      </w:r>
      <w:r w:rsidR="009B610F">
        <w:t xml:space="preserve"> content reviewers,</w:t>
      </w:r>
      <w:r>
        <w:t xml:space="preserve"> course directors and planners must submit the Feinberg CME </w:t>
      </w:r>
      <w:hyperlink r:id="rId9" w:history="1">
        <w:r w:rsidRPr="00B96F29">
          <w:rPr>
            <w:rStyle w:val="Hyperlink"/>
          </w:rPr>
          <w:t>online disclosure form</w:t>
        </w:r>
      </w:hyperlink>
      <w:r>
        <w:t xml:space="preserve"> prior to the activity.</w:t>
      </w:r>
    </w:p>
    <w:p w14:paraId="7D5CA18C" w14:textId="307560B5" w:rsidR="00EF49F6" w:rsidRDefault="00EF49F6" w:rsidP="00EF49F6">
      <w:pPr>
        <w:pStyle w:val="ListParagraph"/>
        <w:numPr>
          <w:ilvl w:val="1"/>
          <w:numId w:val="2"/>
        </w:numPr>
      </w:pPr>
      <w:r>
        <w:t xml:space="preserve">Other forms of disclosures cannot replace the </w:t>
      </w:r>
      <w:r w:rsidR="00A43964">
        <w:t xml:space="preserve">Feinberg </w:t>
      </w:r>
      <w:r>
        <w:t>CME disclosure process</w:t>
      </w:r>
      <w:r w:rsidR="008D04B4">
        <w:t xml:space="preserve"> because</w:t>
      </w:r>
      <w:r>
        <w:t>:</w:t>
      </w:r>
    </w:p>
    <w:p w14:paraId="268F372A" w14:textId="41562A75" w:rsidR="00EF49F6" w:rsidRDefault="00EF49F6" w:rsidP="00EF49F6">
      <w:pPr>
        <w:pStyle w:val="ListParagraph"/>
        <w:numPr>
          <w:ilvl w:val="2"/>
          <w:numId w:val="2"/>
        </w:numPr>
      </w:pPr>
      <w:r w:rsidRPr="00EF49F6">
        <w:rPr>
          <w:b/>
          <w:bCs/>
        </w:rPr>
        <w:t>ALL</w:t>
      </w:r>
      <w:r>
        <w:t xml:space="preserve"> relationships with </w:t>
      </w:r>
      <w:r w:rsidRPr="008D04B4">
        <w:rPr>
          <w:b/>
          <w:bCs/>
        </w:rPr>
        <w:t>ineligible companies</w:t>
      </w:r>
      <w:r w:rsidR="008D04B4">
        <w:t>, defined as</w:t>
      </w:r>
      <w:r w:rsidR="008D04B4" w:rsidRPr="008D04B4">
        <w:t xml:space="preserve"> any entity whose primary business is producing, marketing, selling, re-selling, or distributing healthcare products used by or on patients</w:t>
      </w:r>
      <w:r w:rsidR="008D04B4">
        <w:t>, must be collected.</w:t>
      </w:r>
    </w:p>
    <w:p w14:paraId="151E35A9" w14:textId="28557D50" w:rsidR="00EF49F6" w:rsidRDefault="00EF49F6" w:rsidP="00EF49F6">
      <w:pPr>
        <w:pStyle w:val="ListParagraph"/>
        <w:numPr>
          <w:ilvl w:val="2"/>
          <w:numId w:val="2"/>
        </w:numPr>
      </w:pPr>
      <w:r>
        <w:t xml:space="preserve">The disclosure must cover a </w:t>
      </w:r>
      <w:r w:rsidRPr="008D04B4">
        <w:rPr>
          <w:b/>
          <w:bCs/>
        </w:rPr>
        <w:t>24-month window</w:t>
      </w:r>
      <w:r>
        <w:t xml:space="preserve"> and </w:t>
      </w:r>
      <w:r w:rsidR="009842F3">
        <w:t>must be updated within 12 months of the CME activity date</w:t>
      </w:r>
      <w:r w:rsidR="00EF09A8">
        <w:t>.</w:t>
      </w:r>
    </w:p>
    <w:p w14:paraId="5123CFB9" w14:textId="38AA7BC3" w:rsidR="00EF09A8" w:rsidRPr="00EF09A8" w:rsidRDefault="008D04B4" w:rsidP="00EF09A8">
      <w:pPr>
        <w:pStyle w:val="ListParagraph"/>
        <w:numPr>
          <w:ilvl w:val="1"/>
          <w:numId w:val="2"/>
        </w:numPr>
      </w:pPr>
      <w:r>
        <w:t>The Northwestern University “</w:t>
      </w:r>
      <w:r w:rsidRPr="008D04B4">
        <w:t>Joint Affiliate Annual Disclosure</w:t>
      </w:r>
      <w:r>
        <w:t>” does not meet the disclosure requirements of the Accreditation Council of Continuing Medical Education (ACCME)</w:t>
      </w:r>
      <w:r w:rsidR="00EF09A8">
        <w:t>. Therefore, Feinberg faculty must also complete the Feinberg CME disclosure.</w:t>
      </w:r>
    </w:p>
    <w:p w14:paraId="71A90ED5" w14:textId="02309FD0" w:rsidR="009B610F" w:rsidRDefault="00657A1F" w:rsidP="008D04B4">
      <w:pPr>
        <w:pStyle w:val="ListParagraph"/>
        <w:numPr>
          <w:ilvl w:val="0"/>
          <w:numId w:val="2"/>
        </w:numPr>
      </w:pPr>
      <w:r w:rsidRPr="00E174D7">
        <w:rPr>
          <w:b/>
          <w:bCs/>
          <w:u w:val="single"/>
        </w:rPr>
        <w:t>Owners and employees</w:t>
      </w:r>
      <w:r>
        <w:t xml:space="preserve"> of </w:t>
      </w:r>
      <w:hyperlink r:id="rId10" w:history="1">
        <w:r w:rsidRPr="00657A1F">
          <w:rPr>
            <w:rStyle w:val="Hyperlink"/>
          </w:rPr>
          <w:t>ACCME-defined ineligible companies</w:t>
        </w:r>
      </w:hyperlink>
      <w:r>
        <w:t xml:space="preserve"> </w:t>
      </w:r>
      <w:r w:rsidR="009B610F">
        <w:t xml:space="preserve">may not participate in accredited </w:t>
      </w:r>
      <w:r>
        <w:t>CME.</w:t>
      </w:r>
      <w:r w:rsidR="009B610F">
        <w:t xml:space="preserve"> Owners and employees may include, but are not limited to, those who </w:t>
      </w:r>
      <w:r w:rsidR="009842F3">
        <w:t>disclose</w:t>
      </w:r>
      <w:r w:rsidR="009B610F">
        <w:t xml:space="preserve"> ownership interest, employment, or </w:t>
      </w:r>
      <w:r w:rsidR="009B610F" w:rsidRPr="008D04B4">
        <w:rPr>
          <w:i/>
          <w:iCs/>
        </w:rPr>
        <w:t xml:space="preserve">privately </w:t>
      </w:r>
      <w:r w:rsidR="009B610F">
        <w:t>held stock</w:t>
      </w:r>
      <w:r w:rsidR="006D0866">
        <w:t xml:space="preserve"> in ineligible companies</w:t>
      </w:r>
      <w:r w:rsidR="009B610F">
        <w:t>.</w:t>
      </w:r>
      <w:r w:rsidR="007F010B">
        <w:t xml:space="preserve"> Determining when a company is ineligible or if an ACCME exception applies is complex and the </w:t>
      </w:r>
      <w:r w:rsidR="001B0F65">
        <w:t xml:space="preserve">Office of </w:t>
      </w:r>
      <w:r w:rsidR="007F010B">
        <w:t xml:space="preserve">CME must be engaged.  Further information can be found </w:t>
      </w:r>
      <w:hyperlink r:id="rId11" w:history="1">
        <w:r w:rsidR="007F010B" w:rsidRPr="00030357">
          <w:rPr>
            <w:rStyle w:val="Hyperlink"/>
          </w:rPr>
          <w:t>here.</w:t>
        </w:r>
      </w:hyperlink>
    </w:p>
    <w:p w14:paraId="4B22976C" w14:textId="7C252FC2" w:rsidR="00B30CC5" w:rsidRPr="00D63CCE" w:rsidRDefault="00B30CC5" w:rsidP="00D63CCE">
      <w:pPr>
        <w:pStyle w:val="ListParagraph"/>
        <w:numPr>
          <w:ilvl w:val="1"/>
          <w:numId w:val="2"/>
        </w:numPr>
        <w:rPr>
          <w:i/>
          <w:iCs/>
        </w:rPr>
      </w:pPr>
      <w:r w:rsidRPr="00D63CCE">
        <w:rPr>
          <w:i/>
          <w:iCs/>
        </w:rPr>
        <w:t xml:space="preserve">If you are an owner or employee of an ineligible company, </w:t>
      </w:r>
      <w:r w:rsidR="002105A1" w:rsidRPr="00D63CCE">
        <w:rPr>
          <w:i/>
          <w:iCs/>
        </w:rPr>
        <w:t>please reach out to</w:t>
      </w:r>
      <w:r w:rsidR="00D63CCE">
        <w:rPr>
          <w:i/>
          <w:iCs/>
        </w:rPr>
        <w:t xml:space="preserve"> the</w:t>
      </w:r>
      <w:r w:rsidR="002105A1" w:rsidRPr="00D63CCE">
        <w:rPr>
          <w:i/>
          <w:iCs/>
        </w:rPr>
        <w:t xml:space="preserve"> course directors and office of CME as soon as possible (ideally months in advance of the activity).</w:t>
      </w:r>
      <w:r w:rsidR="00111FFC" w:rsidRPr="00D63CCE">
        <w:rPr>
          <w:i/>
          <w:iCs/>
        </w:rPr>
        <w:t xml:space="preserve"> Failure to do so may compromise the ability of the entire activity to be accredited for CME.</w:t>
      </w:r>
    </w:p>
    <w:p w14:paraId="3EEDD660" w14:textId="10353C94" w:rsidR="00EC5752" w:rsidRDefault="00717E11" w:rsidP="00B96F29">
      <w:pPr>
        <w:pStyle w:val="ListParagraph"/>
        <w:numPr>
          <w:ilvl w:val="0"/>
          <w:numId w:val="2"/>
        </w:numPr>
      </w:pPr>
      <w:r>
        <w:t xml:space="preserve">CME activity planners </w:t>
      </w:r>
      <w:r w:rsidR="00804D52">
        <w:t>review all disclosures, assess for relevance</w:t>
      </w:r>
      <w:r w:rsidR="00011F5D">
        <w:t xml:space="preserve"> to the activity</w:t>
      </w:r>
      <w:r w:rsidR="00060283">
        <w:t xml:space="preserve">, and mitigate all relevant </w:t>
      </w:r>
      <w:r w:rsidR="0077153B">
        <w:t xml:space="preserve">financial relationships prior to the activity. </w:t>
      </w:r>
      <w:r w:rsidR="005536B5">
        <w:t>Most often this is accomplished through slide review.</w:t>
      </w:r>
    </w:p>
    <w:p w14:paraId="0907C24E" w14:textId="2C93774F" w:rsidR="00307313" w:rsidRDefault="00EC5752" w:rsidP="0053470D">
      <w:pPr>
        <w:pStyle w:val="ListParagraph"/>
        <w:numPr>
          <w:ilvl w:val="0"/>
          <w:numId w:val="2"/>
        </w:numPr>
      </w:pPr>
      <w:r>
        <w:t xml:space="preserve">Activity planners will </w:t>
      </w:r>
      <w:r w:rsidR="00BF0D30">
        <w:t xml:space="preserve">share all </w:t>
      </w:r>
      <w:r w:rsidR="009F6456">
        <w:t xml:space="preserve">relevant </w:t>
      </w:r>
      <w:r w:rsidR="00BF0D30">
        <w:t xml:space="preserve">disclosure </w:t>
      </w:r>
      <w:r w:rsidR="00006F4F">
        <w:t xml:space="preserve">and mitigation </w:t>
      </w:r>
      <w:r w:rsidR="00BF0D30">
        <w:t xml:space="preserve">information </w:t>
      </w:r>
      <w:r w:rsidR="00006F4F">
        <w:t xml:space="preserve">with learners prior to the education. </w:t>
      </w:r>
      <w:r w:rsidR="00F45197">
        <w:t>This is often done via an email flyer or an activity program/handout</w:t>
      </w:r>
      <w:r w:rsidR="009842F3">
        <w:t>/slide</w:t>
      </w:r>
      <w:r w:rsidR="00F45197">
        <w:t xml:space="preserve">. </w:t>
      </w:r>
    </w:p>
    <w:p w14:paraId="29E1B98D" w14:textId="77777777" w:rsidR="00197E35" w:rsidRDefault="00307313" w:rsidP="00EC5752">
      <w:pPr>
        <w:pStyle w:val="ListParagraph"/>
        <w:numPr>
          <w:ilvl w:val="1"/>
          <w:numId w:val="2"/>
        </w:numPr>
      </w:pPr>
      <w:r>
        <w:t>Individual speaker d</w:t>
      </w:r>
      <w:r w:rsidR="00A14771">
        <w:t>isclosure slide</w:t>
      </w:r>
      <w:r w:rsidR="00B96F29">
        <w:t>s are</w:t>
      </w:r>
      <w:r w:rsidR="00A14771">
        <w:t xml:space="preserve"> not required</w:t>
      </w:r>
      <w:r w:rsidR="00A43850">
        <w:t xml:space="preserve"> unless explicitly requested by the activity planners</w:t>
      </w:r>
      <w:r w:rsidR="00E174D7">
        <w:t>. However,</w:t>
      </w:r>
      <w:r w:rsidR="00A14771">
        <w:t xml:space="preserve"> if </w:t>
      </w:r>
      <w:r w:rsidR="0064015D">
        <w:t xml:space="preserve">a speaker chooses to </w:t>
      </w:r>
      <w:r w:rsidR="00E174D7">
        <w:t>include</w:t>
      </w:r>
      <w:r w:rsidR="0064015D">
        <w:t xml:space="preserve"> a disclosure slide,</w:t>
      </w:r>
      <w:r w:rsidR="00A14771">
        <w:t xml:space="preserve"> </w:t>
      </w:r>
      <w:r w:rsidR="00C277F5">
        <w:t xml:space="preserve">the information on the slide </w:t>
      </w:r>
      <w:r w:rsidR="00A14771">
        <w:t xml:space="preserve">must match what was </w:t>
      </w:r>
      <w:r w:rsidR="00C277F5">
        <w:t>disclosed</w:t>
      </w:r>
      <w:r w:rsidR="00A14771">
        <w:t xml:space="preserve"> on</w:t>
      </w:r>
      <w:r w:rsidR="00967390">
        <w:t xml:space="preserve"> the online</w:t>
      </w:r>
      <w:r w:rsidR="00A14771">
        <w:t xml:space="preserve"> disclosure form.</w:t>
      </w:r>
      <w:r w:rsidR="00C277F5">
        <w:t xml:space="preserve"> </w:t>
      </w:r>
    </w:p>
    <w:p w14:paraId="490AEB24" w14:textId="044A1A5B" w:rsidR="00A14771" w:rsidRDefault="00C277F5" w:rsidP="00EC5752">
      <w:pPr>
        <w:pStyle w:val="ListParagraph"/>
        <w:numPr>
          <w:ilvl w:val="1"/>
          <w:numId w:val="2"/>
        </w:numPr>
      </w:pPr>
      <w:r>
        <w:lastRenderedPageBreak/>
        <w:t>If disclosure information has changed, it is the speaker’s responsibility to update their online disclosure form and notify the course coordinator.</w:t>
      </w:r>
    </w:p>
    <w:p w14:paraId="2B7AA6EF" w14:textId="74FC91D2" w:rsidR="00967390" w:rsidRPr="00F11A3D" w:rsidRDefault="00DB2621" w:rsidP="00967390">
      <w:pPr>
        <w:rPr>
          <w:b/>
          <w:bCs/>
        </w:rPr>
      </w:pPr>
      <w:r>
        <w:rPr>
          <w:b/>
          <w:bCs/>
        </w:rPr>
        <w:t xml:space="preserve">Content and </w:t>
      </w:r>
      <w:r w:rsidR="00967390" w:rsidRPr="00F11A3D">
        <w:rPr>
          <w:b/>
          <w:bCs/>
        </w:rPr>
        <w:t>Slides:</w:t>
      </w:r>
    </w:p>
    <w:p w14:paraId="7E94C243" w14:textId="25EF6281" w:rsidR="00740FEF" w:rsidRDefault="00A14771" w:rsidP="002F52AA">
      <w:pPr>
        <w:pStyle w:val="ListParagraph"/>
        <w:numPr>
          <w:ilvl w:val="0"/>
          <w:numId w:val="2"/>
        </w:numPr>
      </w:pPr>
      <w:r w:rsidRPr="00A14771">
        <w:t xml:space="preserve">Accredited education must </w:t>
      </w:r>
      <w:r w:rsidR="000B4462">
        <w:t xml:space="preserve">not include promotional messaging, product endorsement, or preferential emphasis on any commercial products or services. </w:t>
      </w:r>
      <w:r w:rsidRPr="00A14771">
        <w:t>Faculty must not actively promote or sell products or services that serve their professional or financial interests during accredited education.</w:t>
      </w:r>
    </w:p>
    <w:p w14:paraId="22F94A33" w14:textId="144449BA" w:rsidR="001568DA" w:rsidRDefault="00A14771" w:rsidP="00AA085F">
      <w:pPr>
        <w:pStyle w:val="ListParagraph"/>
        <w:numPr>
          <w:ilvl w:val="0"/>
          <w:numId w:val="2"/>
        </w:numPr>
      </w:pPr>
      <w:r>
        <w:t>Educational material (slides, abstracts, handouts, etc.) cannot include commercial company and product logo</w:t>
      </w:r>
      <w:r w:rsidR="00740FEF">
        <w:t xml:space="preserve">s of </w:t>
      </w:r>
      <w:hyperlink r:id="rId12" w:history="1">
        <w:r w:rsidR="00740FEF" w:rsidRPr="001568DA">
          <w:rPr>
            <w:rStyle w:val="Hyperlink"/>
          </w:rPr>
          <w:t>ACCME</w:t>
        </w:r>
        <w:r w:rsidR="00657A1F">
          <w:rPr>
            <w:rStyle w:val="Hyperlink"/>
          </w:rPr>
          <w:t>-defined</w:t>
        </w:r>
        <w:r w:rsidR="00740FEF" w:rsidRPr="001568DA">
          <w:rPr>
            <w:rStyle w:val="Hyperlink"/>
          </w:rPr>
          <w:t xml:space="preserve"> ineligible companies.</w:t>
        </w:r>
      </w:hyperlink>
      <w:r w:rsidR="00E64D8D">
        <w:t xml:space="preserve"> Generic names should be used whenever possible. </w:t>
      </w:r>
    </w:p>
    <w:p w14:paraId="27BBEB71" w14:textId="2E65126F" w:rsidR="00A14771" w:rsidRDefault="009E0B81" w:rsidP="00AA085F">
      <w:pPr>
        <w:pStyle w:val="ListParagraph"/>
        <w:numPr>
          <w:ilvl w:val="0"/>
          <w:numId w:val="2"/>
        </w:numPr>
      </w:pPr>
      <w:r>
        <w:t>I</w:t>
      </w:r>
      <w:r w:rsidR="00A14771">
        <w:t xml:space="preserve">dentifiable </w:t>
      </w:r>
      <w:r>
        <w:t xml:space="preserve">information and </w:t>
      </w:r>
      <w:r w:rsidR="00A14771">
        <w:t>photographs of patients</w:t>
      </w:r>
      <w:r>
        <w:t xml:space="preserve"> should be removed or obscured. </w:t>
      </w:r>
    </w:p>
    <w:p w14:paraId="12532993" w14:textId="3FC5ED48" w:rsidR="00EF09A8" w:rsidRDefault="00EF09A8" w:rsidP="00EF09A8">
      <w:pPr>
        <w:pStyle w:val="ListParagraph"/>
        <w:numPr>
          <w:ilvl w:val="0"/>
          <w:numId w:val="2"/>
        </w:numPr>
        <w:spacing w:line="300" w:lineRule="atLeast"/>
        <w:rPr>
          <w:rFonts w:eastAsia="Times New Roman"/>
          <w:color w:val="000000"/>
        </w:rPr>
      </w:pPr>
      <w:r>
        <w:rPr>
          <w:rFonts w:eastAsia="Times New Roman"/>
          <w:color w:val="000000"/>
        </w:rPr>
        <w:t>The</w:t>
      </w:r>
      <w:r w:rsidRPr="00EF09A8">
        <w:rPr>
          <w:rFonts w:eastAsia="Times New Roman"/>
          <w:color w:val="000000"/>
        </w:rPr>
        <w:t xml:space="preserve"> use of artificial intelligence in the development of presentation </w:t>
      </w:r>
      <w:r>
        <w:rPr>
          <w:rFonts w:eastAsia="Times New Roman"/>
          <w:color w:val="000000"/>
        </w:rPr>
        <w:t xml:space="preserve">content must be </w:t>
      </w:r>
      <w:r w:rsidRPr="00EF09A8">
        <w:rPr>
          <w:rFonts w:eastAsia="Times New Roman"/>
          <w:color w:val="000000"/>
        </w:rPr>
        <w:t>transparently disclosed, appropriately reviewed for accuracy and bias, and remain fully compliant with ACCME Standards for Integrity and Independence.</w:t>
      </w:r>
    </w:p>
    <w:p w14:paraId="5E7A7A43" w14:textId="77777777" w:rsidR="00D4378F" w:rsidRDefault="00D4378F" w:rsidP="008A4DB2">
      <w:pPr>
        <w:pStyle w:val="ListParagraph"/>
        <w:numPr>
          <w:ilvl w:val="0"/>
          <w:numId w:val="2"/>
        </w:numPr>
      </w:pPr>
      <w:r>
        <w:t>Slide review:</w:t>
      </w:r>
    </w:p>
    <w:p w14:paraId="60566E48" w14:textId="464EE7AA" w:rsidR="008A4DB2" w:rsidRDefault="000F7C58" w:rsidP="00D4378F">
      <w:pPr>
        <w:pStyle w:val="ListParagraph"/>
        <w:numPr>
          <w:ilvl w:val="1"/>
          <w:numId w:val="2"/>
        </w:numPr>
      </w:pPr>
      <w:r>
        <w:t>Live Activities</w:t>
      </w:r>
      <w:r w:rsidR="008B60FA">
        <w:t xml:space="preserve"> (symposia,</w:t>
      </w:r>
      <w:r w:rsidR="000F33F7">
        <w:t xml:space="preserve"> seminars, annual meetings, etc.) and </w:t>
      </w:r>
      <w:r w:rsidR="006A02B6">
        <w:t xml:space="preserve">Enduring Materials (webinars, online modules, etc.): </w:t>
      </w:r>
      <w:r w:rsidR="008A4DB2">
        <w:t xml:space="preserve">The coordinating department and the Office of CME must review slides before the activity. Slides should be submitted to the activity coordinator </w:t>
      </w:r>
      <w:r w:rsidR="006A02B6">
        <w:t>by the date listed above</w:t>
      </w:r>
      <w:r w:rsidR="008A4DB2">
        <w:t xml:space="preserve"> to allow sufficient time for review of compliance standards.</w:t>
      </w:r>
    </w:p>
    <w:p w14:paraId="364A6D78" w14:textId="01AA7558" w:rsidR="008A4DB2" w:rsidRPr="00FD07E6" w:rsidRDefault="0054313C" w:rsidP="00FD07E6">
      <w:pPr>
        <w:pStyle w:val="ListParagraph"/>
        <w:numPr>
          <w:ilvl w:val="1"/>
          <w:numId w:val="2"/>
        </w:numPr>
      </w:pPr>
      <w:r>
        <w:t>Regularly Scheduled Series (grand rounds, journal club, tumor board, etc.)</w:t>
      </w:r>
      <w:r w:rsidR="00900ADB">
        <w:t xml:space="preserve">: Speakers with </w:t>
      </w:r>
      <w:r w:rsidR="00671C14">
        <w:t xml:space="preserve">financial relationships with ineligible companies must submit their slides prior to the activity </w:t>
      </w:r>
      <w:r w:rsidR="00FD07E6">
        <w:t>so that slide review</w:t>
      </w:r>
      <w:r w:rsidR="00ED2DD3">
        <w:t xml:space="preserve"> and mitigation</w:t>
      </w:r>
      <w:r w:rsidR="00FD07E6">
        <w:t xml:space="preserve"> by the course director can be completed. </w:t>
      </w:r>
    </w:p>
    <w:p w14:paraId="59F20BA4" w14:textId="77777777" w:rsidR="00EF09A8" w:rsidRPr="00D63CCE" w:rsidRDefault="00EF09A8" w:rsidP="00D63CCE">
      <w:pPr>
        <w:rPr>
          <w:sz w:val="2"/>
          <w:szCs w:val="2"/>
        </w:rPr>
      </w:pPr>
    </w:p>
    <w:p w14:paraId="5A5FCFE2" w14:textId="77777777" w:rsidR="00F048D8" w:rsidRDefault="00C74DF1" w:rsidP="00C74DF1">
      <w:r w:rsidRPr="00F11A3D">
        <w:rPr>
          <w:b/>
          <w:bCs/>
        </w:rPr>
        <w:t>Collaborative Learning Culture</w:t>
      </w:r>
      <w:r w:rsidR="002377FD" w:rsidRPr="00F11A3D">
        <w:rPr>
          <w:b/>
          <w:bCs/>
        </w:rPr>
        <w:t>:</w:t>
      </w:r>
      <w:r>
        <w:t xml:space="preserve"> </w:t>
      </w:r>
    </w:p>
    <w:p w14:paraId="182B9A75" w14:textId="2B43000E" w:rsidR="00213873" w:rsidRDefault="00F048D8" w:rsidP="00C74DF1">
      <w:pPr>
        <w:pStyle w:val="ListParagraph"/>
        <w:numPr>
          <w:ilvl w:val="0"/>
          <w:numId w:val="10"/>
        </w:numPr>
        <w:rPr>
          <w:rFonts w:eastAsia="Times New Roman" w:cstheme="minorHAnsi"/>
          <w:bCs/>
          <w:spacing w:val="-1"/>
        </w:rPr>
      </w:pPr>
      <w:r w:rsidRPr="00F048D8">
        <w:rPr>
          <w:rFonts w:eastAsia="Times New Roman" w:cstheme="minorHAnsi"/>
          <w:bCs/>
          <w:spacing w:val="-1"/>
        </w:rPr>
        <w:t>All learners should feel welcome at CME activities regardless of specialty, profession, or any category protected by law. We encourage faculty to reflect on how sociodemographic factors are represented in the educational content. Bias in favor of, or against, individuals or groups must be avoided. The educational needs of the target audience, and healthcare needs of the population, should be considered.</w:t>
      </w:r>
    </w:p>
    <w:p w14:paraId="410D4DB3" w14:textId="03BD81DC" w:rsidR="00C74DF1" w:rsidRDefault="00C74DF1" w:rsidP="00C74DF1">
      <w:pPr>
        <w:pStyle w:val="ListParagraph"/>
        <w:numPr>
          <w:ilvl w:val="0"/>
          <w:numId w:val="10"/>
        </w:numPr>
        <w:rPr>
          <w:rFonts w:eastAsia="Times New Roman" w:cstheme="minorHAnsi"/>
          <w:bCs/>
          <w:spacing w:val="-1"/>
        </w:rPr>
      </w:pPr>
      <w:r w:rsidRPr="00213873">
        <w:rPr>
          <w:rFonts w:eastAsia="Times New Roman" w:cstheme="minorHAnsi"/>
          <w:bCs/>
          <w:spacing w:val="-1"/>
        </w:rPr>
        <w:t>Consider the following questions as you develop your content:</w:t>
      </w:r>
    </w:p>
    <w:p w14:paraId="5E2746B8" w14:textId="77777777" w:rsidR="00871AAF" w:rsidRDefault="00871AAF" w:rsidP="00871AAF">
      <w:pPr>
        <w:pStyle w:val="ListParagraph"/>
        <w:numPr>
          <w:ilvl w:val="1"/>
          <w:numId w:val="10"/>
        </w:numPr>
        <w:rPr>
          <w:rFonts w:eastAsia="Times New Roman" w:cstheme="minorHAnsi"/>
          <w:bCs/>
          <w:spacing w:val="-1"/>
        </w:rPr>
      </w:pPr>
      <w:r>
        <w:rPr>
          <w:rFonts w:eastAsia="Times New Roman" w:cstheme="minorHAnsi"/>
          <w:bCs/>
          <w:spacing w:val="-1"/>
        </w:rPr>
        <w:t>Do slides use sufficient font size and color contrast to maximize readability?</w:t>
      </w:r>
    </w:p>
    <w:p w14:paraId="6071CEEB" w14:textId="77777777" w:rsidR="00871AAF" w:rsidRDefault="00C74DF1" w:rsidP="00871AAF">
      <w:pPr>
        <w:pStyle w:val="ListParagraph"/>
        <w:numPr>
          <w:ilvl w:val="1"/>
          <w:numId w:val="10"/>
        </w:numPr>
        <w:rPr>
          <w:rFonts w:eastAsia="Times New Roman" w:cstheme="minorHAnsi"/>
          <w:bCs/>
          <w:spacing w:val="-1"/>
        </w:rPr>
      </w:pPr>
      <w:r w:rsidRPr="00871AAF">
        <w:rPr>
          <w:rFonts w:eastAsia="Times New Roman" w:cstheme="minorHAnsi"/>
          <w:bCs/>
          <w:spacing w:val="-1"/>
        </w:rPr>
        <w:t>Does this content address the healthcare needs of patients from different backgrounds and life experiences?</w:t>
      </w:r>
    </w:p>
    <w:p w14:paraId="01BBDEC0" w14:textId="4B1AA850" w:rsidR="00900780" w:rsidRDefault="00C74DF1" w:rsidP="00900780">
      <w:pPr>
        <w:pStyle w:val="ListParagraph"/>
        <w:numPr>
          <w:ilvl w:val="1"/>
          <w:numId w:val="10"/>
        </w:numPr>
        <w:rPr>
          <w:rFonts w:eastAsia="Times New Roman" w:cstheme="minorHAnsi"/>
          <w:bCs/>
          <w:spacing w:val="-1"/>
        </w:rPr>
      </w:pPr>
      <w:r w:rsidRPr="00871AAF">
        <w:rPr>
          <w:rFonts w:eastAsia="Times New Roman" w:cstheme="minorHAnsi"/>
          <w:bCs/>
          <w:spacing w:val="-1"/>
        </w:rPr>
        <w:t>Are stereotypes or generalizations included in my content?  Did I avoid bias in the discussion of patient care or research?</w:t>
      </w:r>
      <w:r w:rsidR="00CD47F8" w:rsidRPr="00871AAF">
        <w:rPr>
          <w:rFonts w:eastAsia="Times New Roman" w:cstheme="minorHAnsi"/>
          <w:bCs/>
          <w:spacing w:val="-1"/>
        </w:rPr>
        <w:t xml:space="preserve"> </w:t>
      </w:r>
    </w:p>
    <w:p w14:paraId="62AF738A" w14:textId="77777777" w:rsidR="00900780" w:rsidRDefault="00900780" w:rsidP="00900780">
      <w:pPr>
        <w:rPr>
          <w:rFonts w:eastAsia="Times New Roman" w:cstheme="minorHAnsi"/>
          <w:bCs/>
          <w:spacing w:val="-1"/>
        </w:rPr>
      </w:pPr>
    </w:p>
    <w:p w14:paraId="619320B1" w14:textId="07A9EC88" w:rsidR="00900780" w:rsidRPr="00900780" w:rsidRDefault="00900780" w:rsidP="00900780">
      <w:pPr>
        <w:rPr>
          <w:rFonts w:eastAsia="Times New Roman" w:cstheme="minorHAnsi"/>
          <w:b/>
          <w:spacing w:val="-1"/>
        </w:rPr>
      </w:pPr>
      <w:r w:rsidRPr="00900780">
        <w:rPr>
          <w:rFonts w:eastAsia="Times New Roman" w:cstheme="minorHAnsi"/>
          <w:b/>
          <w:spacing w:val="-1"/>
        </w:rPr>
        <w:t>On behalf of the Feinberg Office of CME, thank you for your participation.</w:t>
      </w:r>
      <w:r>
        <w:rPr>
          <w:rFonts w:eastAsia="Times New Roman" w:cstheme="minorHAnsi"/>
          <w:b/>
          <w:spacing w:val="-1"/>
        </w:rPr>
        <w:t xml:space="preserve"> Our office is available to assist with any questions that arise. Email: </w:t>
      </w:r>
      <w:r w:rsidRPr="00900780">
        <w:rPr>
          <w:rFonts w:eastAsia="Times New Roman" w:cstheme="minorHAnsi"/>
          <w:b/>
          <w:spacing w:val="-1"/>
        </w:rPr>
        <w:t>cme@northwestern.edu</w:t>
      </w:r>
    </w:p>
    <w:sectPr w:rsidR="00900780" w:rsidRPr="00900780" w:rsidSect="0090078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25D3" w14:textId="77777777" w:rsidR="00776351" w:rsidRDefault="00776351" w:rsidP="003014FF">
      <w:pPr>
        <w:spacing w:after="0" w:line="240" w:lineRule="auto"/>
      </w:pPr>
      <w:r>
        <w:separator/>
      </w:r>
    </w:p>
  </w:endnote>
  <w:endnote w:type="continuationSeparator" w:id="0">
    <w:p w14:paraId="740B3009" w14:textId="77777777" w:rsidR="00776351" w:rsidRDefault="00776351" w:rsidP="0030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D2F7" w14:textId="73F8EABC" w:rsidR="003014FF" w:rsidRPr="003014FF" w:rsidRDefault="009D3E85" w:rsidP="003014FF">
    <w:pPr>
      <w:pStyle w:val="Footer"/>
    </w:pPr>
    <w:r>
      <w:t>Last updated: 06</w:t>
    </w:r>
    <w:r w:rsidR="005F652E">
      <w:t>/01/2026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6EBC4" w14:textId="77777777" w:rsidR="00776351" w:rsidRDefault="00776351" w:rsidP="003014FF">
      <w:pPr>
        <w:spacing w:after="0" w:line="240" w:lineRule="auto"/>
      </w:pPr>
      <w:r>
        <w:separator/>
      </w:r>
    </w:p>
  </w:footnote>
  <w:footnote w:type="continuationSeparator" w:id="0">
    <w:p w14:paraId="0CB1E078" w14:textId="77777777" w:rsidR="00776351" w:rsidRDefault="00776351" w:rsidP="00301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362CC"/>
    <w:multiLevelType w:val="multilevel"/>
    <w:tmpl w:val="073495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111383"/>
    <w:multiLevelType w:val="hybridMultilevel"/>
    <w:tmpl w:val="597C6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C371F"/>
    <w:multiLevelType w:val="hybridMultilevel"/>
    <w:tmpl w:val="C06EC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925D61"/>
    <w:multiLevelType w:val="multilevel"/>
    <w:tmpl w:val="502A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542DE7"/>
    <w:multiLevelType w:val="hybridMultilevel"/>
    <w:tmpl w:val="C7F0C6B2"/>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68457B59"/>
    <w:multiLevelType w:val="hybridMultilevel"/>
    <w:tmpl w:val="0106ACEE"/>
    <w:lvl w:ilvl="0" w:tplc="0409000D">
      <w:start w:val="1"/>
      <w:numFmt w:val="bullet"/>
      <w:lvlText w:val=""/>
      <w:lvlJc w:val="left"/>
      <w:pPr>
        <w:ind w:left="108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96F0D88"/>
    <w:multiLevelType w:val="hybridMultilevel"/>
    <w:tmpl w:val="51521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DA3476"/>
    <w:multiLevelType w:val="hybridMultilevel"/>
    <w:tmpl w:val="C4D6BAEE"/>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78ED713C"/>
    <w:multiLevelType w:val="hybridMultilevel"/>
    <w:tmpl w:val="AC9A09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617718257">
    <w:abstractNumId w:val="0"/>
  </w:num>
  <w:num w:numId="2" w16cid:durableId="747314556">
    <w:abstractNumId w:val="6"/>
  </w:num>
  <w:num w:numId="3" w16cid:durableId="18817410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9733912">
    <w:abstractNumId w:val="8"/>
  </w:num>
  <w:num w:numId="5" w16cid:durableId="1612857571">
    <w:abstractNumId w:val="2"/>
  </w:num>
  <w:num w:numId="6" w16cid:durableId="550264197">
    <w:abstractNumId w:val="7"/>
  </w:num>
  <w:num w:numId="7" w16cid:durableId="1801221252">
    <w:abstractNumId w:val="5"/>
  </w:num>
  <w:num w:numId="8" w16cid:durableId="426460595">
    <w:abstractNumId w:val="4"/>
  </w:num>
  <w:num w:numId="9" w16cid:durableId="1552157972">
    <w:abstractNumId w:val="3"/>
  </w:num>
  <w:num w:numId="10" w16cid:durableId="1458570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771"/>
    <w:rsid w:val="00000A58"/>
    <w:rsid w:val="00003EEB"/>
    <w:rsid w:val="00006F4F"/>
    <w:rsid w:val="00011F5D"/>
    <w:rsid w:val="00030357"/>
    <w:rsid w:val="000332F3"/>
    <w:rsid w:val="000440DA"/>
    <w:rsid w:val="00060283"/>
    <w:rsid w:val="000668A0"/>
    <w:rsid w:val="0007480D"/>
    <w:rsid w:val="000914F9"/>
    <w:rsid w:val="000B4462"/>
    <w:rsid w:val="000B4749"/>
    <w:rsid w:val="000C5BDE"/>
    <w:rsid w:val="000F33F7"/>
    <w:rsid w:val="000F73B6"/>
    <w:rsid w:val="000F7C58"/>
    <w:rsid w:val="00111FFC"/>
    <w:rsid w:val="00121577"/>
    <w:rsid w:val="001257C3"/>
    <w:rsid w:val="00131B9B"/>
    <w:rsid w:val="00145F18"/>
    <w:rsid w:val="00152CFF"/>
    <w:rsid w:val="0015655D"/>
    <w:rsid w:val="001568DA"/>
    <w:rsid w:val="00167CF5"/>
    <w:rsid w:val="00197E35"/>
    <w:rsid w:val="001B0F65"/>
    <w:rsid w:val="001D4142"/>
    <w:rsid w:val="001F6990"/>
    <w:rsid w:val="0020128F"/>
    <w:rsid w:val="00202929"/>
    <w:rsid w:val="002105A1"/>
    <w:rsid w:val="00210955"/>
    <w:rsid w:val="00213873"/>
    <w:rsid w:val="00224B90"/>
    <w:rsid w:val="00232550"/>
    <w:rsid w:val="002377FD"/>
    <w:rsid w:val="00243618"/>
    <w:rsid w:val="00247C73"/>
    <w:rsid w:val="00271AB6"/>
    <w:rsid w:val="0028253E"/>
    <w:rsid w:val="00283D2A"/>
    <w:rsid w:val="002B3782"/>
    <w:rsid w:val="002B5EA4"/>
    <w:rsid w:val="003014FF"/>
    <w:rsid w:val="00305932"/>
    <w:rsid w:val="00307313"/>
    <w:rsid w:val="0037368E"/>
    <w:rsid w:val="00376BDB"/>
    <w:rsid w:val="003A0D16"/>
    <w:rsid w:val="003A41D4"/>
    <w:rsid w:val="003B204C"/>
    <w:rsid w:val="003C3D99"/>
    <w:rsid w:val="003D7500"/>
    <w:rsid w:val="003E1905"/>
    <w:rsid w:val="00400B3B"/>
    <w:rsid w:val="00412E3A"/>
    <w:rsid w:val="00451936"/>
    <w:rsid w:val="00452C94"/>
    <w:rsid w:val="004959ED"/>
    <w:rsid w:val="004B081D"/>
    <w:rsid w:val="004B3CE1"/>
    <w:rsid w:val="004C114A"/>
    <w:rsid w:val="0053470D"/>
    <w:rsid w:val="0054313C"/>
    <w:rsid w:val="005536B5"/>
    <w:rsid w:val="005C221B"/>
    <w:rsid w:val="005F652E"/>
    <w:rsid w:val="0060596C"/>
    <w:rsid w:val="00606F98"/>
    <w:rsid w:val="00616FE6"/>
    <w:rsid w:val="0063624A"/>
    <w:rsid w:val="0064015D"/>
    <w:rsid w:val="00657A1F"/>
    <w:rsid w:val="00671C14"/>
    <w:rsid w:val="006A02B6"/>
    <w:rsid w:val="006B21F2"/>
    <w:rsid w:val="006D0866"/>
    <w:rsid w:val="00707E7E"/>
    <w:rsid w:val="0071655B"/>
    <w:rsid w:val="00717E11"/>
    <w:rsid w:val="00730816"/>
    <w:rsid w:val="00740FEF"/>
    <w:rsid w:val="00743694"/>
    <w:rsid w:val="0077153B"/>
    <w:rsid w:val="00776351"/>
    <w:rsid w:val="007B0A34"/>
    <w:rsid w:val="007C1F07"/>
    <w:rsid w:val="007F010B"/>
    <w:rsid w:val="00804D52"/>
    <w:rsid w:val="00807AD2"/>
    <w:rsid w:val="0084011F"/>
    <w:rsid w:val="00865017"/>
    <w:rsid w:val="00871AAF"/>
    <w:rsid w:val="00882B08"/>
    <w:rsid w:val="0089764A"/>
    <w:rsid w:val="008A1072"/>
    <w:rsid w:val="008A4DB2"/>
    <w:rsid w:val="008B2BD7"/>
    <w:rsid w:val="008B60FA"/>
    <w:rsid w:val="008B706D"/>
    <w:rsid w:val="008D04B4"/>
    <w:rsid w:val="008E5693"/>
    <w:rsid w:val="00900780"/>
    <w:rsid w:val="00900ADB"/>
    <w:rsid w:val="00901598"/>
    <w:rsid w:val="009218F4"/>
    <w:rsid w:val="00967390"/>
    <w:rsid w:val="009842F3"/>
    <w:rsid w:val="009B610F"/>
    <w:rsid w:val="009D3E85"/>
    <w:rsid w:val="009E0B81"/>
    <w:rsid w:val="009F6456"/>
    <w:rsid w:val="00A14771"/>
    <w:rsid w:val="00A36B70"/>
    <w:rsid w:val="00A43850"/>
    <w:rsid w:val="00A43964"/>
    <w:rsid w:val="00AA2CE1"/>
    <w:rsid w:val="00B22536"/>
    <w:rsid w:val="00B30CC5"/>
    <w:rsid w:val="00B37694"/>
    <w:rsid w:val="00B52606"/>
    <w:rsid w:val="00B96F29"/>
    <w:rsid w:val="00BC316A"/>
    <w:rsid w:val="00BC612A"/>
    <w:rsid w:val="00BE3304"/>
    <w:rsid w:val="00BF0D30"/>
    <w:rsid w:val="00BF2815"/>
    <w:rsid w:val="00C14F37"/>
    <w:rsid w:val="00C24A44"/>
    <w:rsid w:val="00C277F5"/>
    <w:rsid w:val="00C57FB1"/>
    <w:rsid w:val="00C74DF1"/>
    <w:rsid w:val="00C94AD3"/>
    <w:rsid w:val="00CB27C2"/>
    <w:rsid w:val="00CB39CB"/>
    <w:rsid w:val="00CD47F8"/>
    <w:rsid w:val="00D14F6C"/>
    <w:rsid w:val="00D20733"/>
    <w:rsid w:val="00D4378F"/>
    <w:rsid w:val="00D63CCE"/>
    <w:rsid w:val="00D871E5"/>
    <w:rsid w:val="00D90B4A"/>
    <w:rsid w:val="00DB0986"/>
    <w:rsid w:val="00DB24A5"/>
    <w:rsid w:val="00DB2621"/>
    <w:rsid w:val="00DD6F54"/>
    <w:rsid w:val="00DF17F7"/>
    <w:rsid w:val="00DF5A38"/>
    <w:rsid w:val="00E174D7"/>
    <w:rsid w:val="00E40B35"/>
    <w:rsid w:val="00E50337"/>
    <w:rsid w:val="00E62324"/>
    <w:rsid w:val="00E64D8D"/>
    <w:rsid w:val="00E74A45"/>
    <w:rsid w:val="00EA4A24"/>
    <w:rsid w:val="00EC5752"/>
    <w:rsid w:val="00ED2DD3"/>
    <w:rsid w:val="00EE2945"/>
    <w:rsid w:val="00EE7ECE"/>
    <w:rsid w:val="00EF09A8"/>
    <w:rsid w:val="00EF49F6"/>
    <w:rsid w:val="00F048D8"/>
    <w:rsid w:val="00F11A3D"/>
    <w:rsid w:val="00F45197"/>
    <w:rsid w:val="00F556CF"/>
    <w:rsid w:val="00FA40FB"/>
    <w:rsid w:val="00FD07E6"/>
    <w:rsid w:val="00FE1461"/>
    <w:rsid w:val="00FF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D8A0"/>
  <w15:chartTrackingRefBased/>
  <w15:docId w15:val="{8103CF0D-2882-4DB2-8502-2C46EEC7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6F29"/>
    <w:rPr>
      <w:color w:val="0563C1" w:themeColor="hyperlink"/>
      <w:u w:val="single"/>
    </w:rPr>
  </w:style>
  <w:style w:type="character" w:customStyle="1" w:styleId="UnresolvedMention1">
    <w:name w:val="Unresolved Mention1"/>
    <w:basedOn w:val="DefaultParagraphFont"/>
    <w:uiPriority w:val="99"/>
    <w:semiHidden/>
    <w:unhideWhenUsed/>
    <w:rsid w:val="00B96F29"/>
    <w:rPr>
      <w:color w:val="605E5C"/>
      <w:shd w:val="clear" w:color="auto" w:fill="E1DFDD"/>
    </w:rPr>
  </w:style>
  <w:style w:type="paragraph" w:styleId="ListParagraph">
    <w:name w:val="List Paragraph"/>
    <w:basedOn w:val="Normal"/>
    <w:uiPriority w:val="34"/>
    <w:qFormat/>
    <w:rsid w:val="00B96F29"/>
    <w:pPr>
      <w:ind w:left="720"/>
      <w:contextualSpacing/>
    </w:pPr>
  </w:style>
  <w:style w:type="character" w:styleId="FollowedHyperlink">
    <w:name w:val="FollowedHyperlink"/>
    <w:basedOn w:val="DefaultParagraphFont"/>
    <w:uiPriority w:val="99"/>
    <w:semiHidden/>
    <w:unhideWhenUsed/>
    <w:rsid w:val="00030357"/>
    <w:rPr>
      <w:color w:val="954F72" w:themeColor="followedHyperlink"/>
      <w:u w:val="single"/>
    </w:rPr>
  </w:style>
  <w:style w:type="character" w:styleId="UnresolvedMention">
    <w:name w:val="Unresolved Mention"/>
    <w:basedOn w:val="DefaultParagraphFont"/>
    <w:uiPriority w:val="99"/>
    <w:semiHidden/>
    <w:unhideWhenUsed/>
    <w:rsid w:val="00305932"/>
    <w:rPr>
      <w:color w:val="605E5C"/>
      <w:shd w:val="clear" w:color="auto" w:fill="E1DFDD"/>
    </w:rPr>
  </w:style>
  <w:style w:type="character" w:styleId="CommentReference">
    <w:name w:val="annotation reference"/>
    <w:basedOn w:val="DefaultParagraphFont"/>
    <w:uiPriority w:val="99"/>
    <w:semiHidden/>
    <w:unhideWhenUsed/>
    <w:rsid w:val="003C3D99"/>
    <w:rPr>
      <w:sz w:val="16"/>
      <w:szCs w:val="16"/>
    </w:rPr>
  </w:style>
  <w:style w:type="paragraph" w:styleId="CommentText">
    <w:name w:val="annotation text"/>
    <w:basedOn w:val="Normal"/>
    <w:link w:val="CommentTextChar"/>
    <w:uiPriority w:val="99"/>
    <w:unhideWhenUsed/>
    <w:rsid w:val="003C3D99"/>
    <w:pPr>
      <w:spacing w:line="240" w:lineRule="auto"/>
    </w:pPr>
    <w:rPr>
      <w:sz w:val="20"/>
      <w:szCs w:val="20"/>
    </w:rPr>
  </w:style>
  <w:style w:type="character" w:customStyle="1" w:styleId="CommentTextChar">
    <w:name w:val="Comment Text Char"/>
    <w:basedOn w:val="DefaultParagraphFont"/>
    <w:link w:val="CommentText"/>
    <w:uiPriority w:val="99"/>
    <w:rsid w:val="003C3D99"/>
    <w:rPr>
      <w:sz w:val="20"/>
      <w:szCs w:val="20"/>
    </w:rPr>
  </w:style>
  <w:style w:type="paragraph" w:styleId="CommentSubject">
    <w:name w:val="annotation subject"/>
    <w:basedOn w:val="CommentText"/>
    <w:next w:val="CommentText"/>
    <w:link w:val="CommentSubjectChar"/>
    <w:uiPriority w:val="99"/>
    <w:semiHidden/>
    <w:unhideWhenUsed/>
    <w:rsid w:val="003C3D99"/>
    <w:rPr>
      <w:b/>
      <w:bCs/>
    </w:rPr>
  </w:style>
  <w:style w:type="character" w:customStyle="1" w:styleId="CommentSubjectChar">
    <w:name w:val="Comment Subject Char"/>
    <w:basedOn w:val="CommentTextChar"/>
    <w:link w:val="CommentSubject"/>
    <w:uiPriority w:val="99"/>
    <w:semiHidden/>
    <w:rsid w:val="003C3D99"/>
    <w:rPr>
      <w:b/>
      <w:bCs/>
      <w:sz w:val="20"/>
      <w:szCs w:val="20"/>
    </w:rPr>
  </w:style>
  <w:style w:type="paragraph" w:styleId="Revision">
    <w:name w:val="Revision"/>
    <w:hidden/>
    <w:uiPriority w:val="99"/>
    <w:semiHidden/>
    <w:rsid w:val="004B3CE1"/>
    <w:pPr>
      <w:spacing w:after="0" w:line="240" w:lineRule="auto"/>
    </w:pPr>
  </w:style>
  <w:style w:type="paragraph" w:styleId="Header">
    <w:name w:val="header"/>
    <w:basedOn w:val="Normal"/>
    <w:link w:val="HeaderChar"/>
    <w:uiPriority w:val="99"/>
    <w:unhideWhenUsed/>
    <w:rsid w:val="00301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4FF"/>
  </w:style>
  <w:style w:type="paragraph" w:styleId="Footer">
    <w:name w:val="footer"/>
    <w:basedOn w:val="Normal"/>
    <w:link w:val="FooterChar"/>
    <w:uiPriority w:val="99"/>
    <w:unhideWhenUsed/>
    <w:rsid w:val="00301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3364">
      <w:bodyDiv w:val="1"/>
      <w:marLeft w:val="0"/>
      <w:marRight w:val="0"/>
      <w:marTop w:val="0"/>
      <w:marBottom w:val="0"/>
      <w:divBdr>
        <w:top w:val="none" w:sz="0" w:space="0" w:color="auto"/>
        <w:left w:val="none" w:sz="0" w:space="0" w:color="auto"/>
        <w:bottom w:val="none" w:sz="0" w:space="0" w:color="auto"/>
        <w:right w:val="none" w:sz="0" w:space="0" w:color="auto"/>
      </w:divBdr>
    </w:div>
    <w:div w:id="125883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cme.org/faq/what-accmes-definition-ineligible-compan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me.org/accreditation-rules/standards-for-integrity-independence-accredited-ce/standard-3-identify-mitigate-and-disclose-relevant-financial-relationsh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cme.org/faq/what-accmes-definition-ineligible-company" TargetMode="External"/><Relationship Id="rId4" Type="http://schemas.openxmlformats.org/officeDocument/2006/relationships/settings" Target="settings.xml"/><Relationship Id="rId9" Type="http://schemas.openxmlformats.org/officeDocument/2006/relationships/hyperlink" Target="https://northwestern.cloud-cme.com/Form.aspx?FormID=129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86466-7D7A-450B-8C5B-42FA7BC66F1C}">
  <ds:schemaRefs>
    <ds:schemaRef ds:uri="http://schemas.openxmlformats.org/officeDocument/2006/bibliography"/>
  </ds:schemaRefs>
</ds:datastoreItem>
</file>

<file path=docMetadata/LabelInfo.xml><?xml version="1.0" encoding="utf-8"?>
<clbl:labelList xmlns:clbl="http://schemas.microsoft.com/office/2020/mipLabelMetadata">
  <clbl:label id="{b1b86c14-7a6f-495c-8ad3-202986669410}" enabled="1" method="Standard" siteId="{2596038f-3ea4-4f0c-aed1-066eb6544c3b}"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A Corey</dc:creator>
  <cp:keywords/>
  <dc:description/>
  <cp:lastModifiedBy>Sheryl A Corey</cp:lastModifiedBy>
  <cp:revision>2</cp:revision>
  <dcterms:created xsi:type="dcterms:W3CDTF">2026-06-01T15:02:00Z</dcterms:created>
  <dcterms:modified xsi:type="dcterms:W3CDTF">2026-06-01T15:02:00Z</dcterms:modified>
</cp:coreProperties>
</file>