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4375F" w14:textId="77777777" w:rsidR="00EA6484" w:rsidRPr="00EE0CF2" w:rsidRDefault="003C2FB9">
      <w:pPr>
        <w:pStyle w:val="Title"/>
        <w:jc w:val="center"/>
        <w:rPr>
          <w:sz w:val="40"/>
          <w:szCs w:val="40"/>
        </w:rPr>
      </w:pPr>
      <w:r w:rsidRPr="00EE0CF2">
        <w:rPr>
          <w:sz w:val="40"/>
          <w:szCs w:val="40"/>
        </w:rPr>
        <w:t>Northwestern University Feinberg School of Medicine</w:t>
      </w:r>
    </w:p>
    <w:p w14:paraId="1DCD13AD" w14:textId="77777777" w:rsidR="00EA6484" w:rsidRPr="00EE0CF2" w:rsidRDefault="003C2FB9">
      <w:pPr>
        <w:pStyle w:val="Title"/>
        <w:jc w:val="center"/>
        <w:rPr>
          <w:sz w:val="40"/>
          <w:szCs w:val="40"/>
        </w:rPr>
      </w:pPr>
      <w:r w:rsidRPr="00EE0CF2">
        <w:rPr>
          <w:sz w:val="40"/>
          <w:szCs w:val="40"/>
        </w:rPr>
        <w:t>Office of Continuing Medical Education (CME)</w:t>
      </w:r>
    </w:p>
    <w:p w14:paraId="5F78975B" w14:textId="77777777" w:rsidR="00EA6484" w:rsidRPr="00EE0CF2" w:rsidRDefault="003C2FB9">
      <w:pPr>
        <w:pStyle w:val="Title"/>
        <w:jc w:val="center"/>
        <w:rPr>
          <w:b/>
          <w:bCs/>
          <w:sz w:val="40"/>
          <w:szCs w:val="40"/>
        </w:rPr>
      </w:pPr>
      <w:r w:rsidRPr="00EE0CF2">
        <w:rPr>
          <w:b/>
          <w:bCs/>
          <w:sz w:val="40"/>
          <w:szCs w:val="40"/>
        </w:rPr>
        <w:t>Guidelines for Planning a CME Activity</w:t>
      </w:r>
    </w:p>
    <w:p w14:paraId="63D3E7F6" w14:textId="3D9DDDEB" w:rsidR="00EE0CF2" w:rsidRDefault="1653D51A" w:rsidP="1B62D7D4">
      <w:pPr>
        <w:jc w:val="center"/>
        <w:rPr>
          <w:i/>
          <w:iCs/>
        </w:rPr>
      </w:pPr>
      <w:r w:rsidRPr="1B62D7D4">
        <w:rPr>
          <w:i/>
          <w:iCs/>
        </w:rPr>
        <w:t xml:space="preserve">Revised: </w:t>
      </w:r>
      <w:r w:rsidR="14DFC685" w:rsidRPr="1B62D7D4">
        <w:rPr>
          <w:i/>
          <w:iCs/>
        </w:rPr>
        <w:t>8.28</w:t>
      </w:r>
      <w:r w:rsidR="790ABF0E" w:rsidRPr="1B62D7D4">
        <w:rPr>
          <w:i/>
          <w:iCs/>
        </w:rPr>
        <w:t>.</w:t>
      </w:r>
      <w:r w:rsidR="5B8E325F" w:rsidRPr="1B62D7D4">
        <w:rPr>
          <w:i/>
          <w:iCs/>
        </w:rPr>
        <w:t>2026</w:t>
      </w:r>
    </w:p>
    <w:p w14:paraId="0C74C39E" w14:textId="7BE38E38" w:rsidR="00EA6484" w:rsidRDefault="003C2FB9" w:rsidP="00EE0CF2">
      <w:pPr>
        <w:jc w:val="center"/>
      </w:pPr>
      <w:r>
        <w:t xml:space="preserve">Contact: </w:t>
      </w:r>
      <w:hyperlink r:id="rId11">
        <w:r>
          <w:rPr>
            <w:color w:val="0563C1"/>
            <w:u w:val="single"/>
          </w:rPr>
          <w:t>cme@northwestern.edu</w:t>
        </w:r>
      </w:hyperlink>
      <w:r>
        <w:t xml:space="preserve"> • 312-503-8533</w:t>
      </w:r>
    </w:p>
    <w:p w14:paraId="7681376C" w14:textId="77777777" w:rsidR="00EA6484" w:rsidRDefault="003C2FB9">
      <w:r>
        <w:br w:type="page"/>
      </w:r>
    </w:p>
    <w:p w14:paraId="56381ED2" w14:textId="77777777" w:rsidR="00EA6484" w:rsidRDefault="2081AFD7">
      <w:pPr>
        <w:pStyle w:val="Heading1"/>
      </w:pPr>
      <w:bookmarkStart w:id="0" w:name="_Toc1145886433"/>
      <w:bookmarkStart w:id="1" w:name="_Toc1146360087"/>
      <w:bookmarkStart w:id="2" w:name="_Toc238829240"/>
      <w:r>
        <w:lastRenderedPageBreak/>
        <w:t>Quick Start Guide (At a Glance)</w:t>
      </w:r>
      <w:bookmarkEnd w:id="0"/>
      <w:bookmarkEnd w:id="1"/>
      <w:bookmarkEnd w:id="2"/>
    </w:p>
    <w:p w14:paraId="42035068" w14:textId="77777777" w:rsidR="00EA6484" w:rsidRDefault="003C2FB9">
      <w:r>
        <w:t>Use this checklist to plan a compliant, high-quality CME activity from concept to close-out.</w:t>
      </w:r>
    </w:p>
    <w:p w14:paraId="143071C3" w14:textId="77777777" w:rsidR="00EA6484" w:rsidRDefault="2081AFD7" w:rsidP="226BB21D">
      <w:pPr>
        <w:pStyle w:val="Heading2"/>
      </w:pPr>
      <w:bookmarkStart w:id="3" w:name="_Toc1177472366"/>
      <w:bookmarkStart w:id="4" w:name="_Toc1751799567"/>
      <w:bookmarkStart w:id="5" w:name="_Toc238829241"/>
      <w:r w:rsidRPr="1B62D7D4">
        <w:rPr>
          <w:color w:val="4F80BD"/>
        </w:rPr>
        <w:t>Step-by-step checklist</w:t>
      </w:r>
      <w:bookmarkEnd w:id="3"/>
      <w:bookmarkEnd w:id="4"/>
      <w:bookmarkEnd w:id="5"/>
    </w:p>
    <w:p w14:paraId="2189005C" w14:textId="77777777" w:rsidR="00EA6484" w:rsidRDefault="137CB1AF">
      <w:pPr>
        <w:pStyle w:val="ListNumber"/>
      </w:pPr>
      <w:r>
        <w:t>Define the target audience and confirm the educational need (needs assessment).</w:t>
      </w:r>
    </w:p>
    <w:p w14:paraId="1FDF9DF1" w14:textId="7877F2C5" w:rsidR="00EA6484" w:rsidRDefault="137CB1AF">
      <w:pPr>
        <w:pStyle w:val="ListNumber"/>
      </w:pPr>
      <w:r>
        <w:t>State the professional practice gap (current practice vs</w:t>
      </w:r>
      <w:r w:rsidR="3F18616B">
        <w:t>.</w:t>
      </w:r>
      <w:r>
        <w:t xml:space="preserve"> best practice).</w:t>
      </w:r>
    </w:p>
    <w:p w14:paraId="60BAFC31" w14:textId="77777777" w:rsidR="00EA6484" w:rsidRDefault="137CB1AF">
      <w:pPr>
        <w:pStyle w:val="ListNumber"/>
      </w:pPr>
      <w:r>
        <w:t>Design the activity to change competence, performance, or patient outcomes.</w:t>
      </w:r>
    </w:p>
    <w:p w14:paraId="0069D53F" w14:textId="77777777" w:rsidR="00EA6484" w:rsidRDefault="137CB1AF">
      <w:pPr>
        <w:pStyle w:val="ListNumber"/>
      </w:pPr>
      <w:r>
        <w:t>Draft measurable learning objectives (use action verbs).</w:t>
      </w:r>
    </w:p>
    <w:p w14:paraId="77268582" w14:textId="77777777" w:rsidR="00EA6484" w:rsidRDefault="137CB1AF">
      <w:pPr>
        <w:pStyle w:val="ListNumber"/>
      </w:pPr>
      <w:r>
        <w:t>Select the activity type (RSS, live course, series, enduring material, journal CME, committee-based CME).</w:t>
      </w:r>
    </w:p>
    <w:p w14:paraId="1BDCD234" w14:textId="77777777" w:rsidR="00EA6484" w:rsidRDefault="137CB1AF">
      <w:pPr>
        <w:pStyle w:val="ListNumber"/>
      </w:pPr>
      <w:r>
        <w:t>Identify course director(s), planners, and coordinator(s); begin collecting disclosures for all persons in control of content.</w:t>
      </w:r>
    </w:p>
    <w:p w14:paraId="0178CE11" w14:textId="77777777" w:rsidR="00EA6484" w:rsidRDefault="137CB1AF">
      <w:pPr>
        <w:pStyle w:val="ListNumber"/>
      </w:pPr>
      <w:r>
        <w:t>Develop the agenda and recruit faculty; request slides and disclosures early.</w:t>
      </w:r>
    </w:p>
    <w:p w14:paraId="128605FF" w14:textId="77777777" w:rsidR="00EA6484" w:rsidRDefault="137CB1AF">
      <w:pPr>
        <w:pStyle w:val="ListNumber"/>
      </w:pPr>
      <w:r>
        <w:t>Prepare required application attachments (budget estimate, draft agenda, speaker/faculty spreadsheet).</w:t>
      </w:r>
    </w:p>
    <w:p w14:paraId="3AA0B45F" w14:textId="77777777" w:rsidR="00EA6484" w:rsidRDefault="137CB1AF">
      <w:pPr>
        <w:pStyle w:val="ListNumber"/>
      </w:pPr>
      <w:r>
        <w:t>Submit the online CME application at least 3 months prior to the activity (6 months recommended for large or commercially supported activities).</w:t>
      </w:r>
    </w:p>
    <w:p w14:paraId="0D971B1F" w14:textId="77777777" w:rsidR="00EE0CF2" w:rsidRDefault="137CB1AF">
      <w:pPr>
        <w:pStyle w:val="ListNumber"/>
      </w:pPr>
      <w:r>
        <w:t>After approval: learner disclosures</w:t>
      </w:r>
      <w:r w:rsidR="666D1B1B">
        <w:t xml:space="preserve"> and content mitigation for those with relevant financial relationships</w:t>
      </w:r>
      <w:r>
        <w:t>; finalize materials; deliver the activity</w:t>
      </w:r>
      <w:r w:rsidR="666D1B1B">
        <w:t>.</w:t>
      </w:r>
    </w:p>
    <w:p w14:paraId="42347059" w14:textId="65A0123B" w:rsidR="00EA6484" w:rsidRDefault="666D1B1B">
      <w:pPr>
        <w:pStyle w:val="ListNumber"/>
      </w:pPr>
      <w:r>
        <w:t>C</w:t>
      </w:r>
      <w:r w:rsidR="137CB1AF">
        <w:t>ollect evaluations and submit close-out documentation.</w:t>
      </w:r>
    </w:p>
    <w:p w14:paraId="70C6E198" w14:textId="77777777" w:rsidR="00EA6484" w:rsidRDefault="2081AFD7">
      <w:pPr>
        <w:pStyle w:val="Heading2"/>
      </w:pPr>
      <w:bookmarkStart w:id="6" w:name="_Toc737251542"/>
      <w:bookmarkStart w:id="7" w:name="_Toc773226564"/>
      <w:bookmarkStart w:id="8" w:name="_Toc238829242"/>
      <w:r>
        <w:t>Recommended planning timeline</w:t>
      </w:r>
      <w:bookmarkEnd w:id="6"/>
      <w:bookmarkEnd w:id="7"/>
      <w:bookmarkEnd w:id="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3120"/>
        <w:gridCol w:w="3120"/>
      </w:tblGrid>
      <w:tr w:rsidR="00EA6484" w14:paraId="5E996C85" w14:textId="77777777" w:rsidTr="2D22174D">
        <w:trPr>
          <w:jc w:val="center"/>
        </w:trPr>
        <w:tc>
          <w:tcPr>
            <w:tcW w:w="3120" w:type="dxa"/>
          </w:tcPr>
          <w:p w14:paraId="18C96734" w14:textId="77777777" w:rsidR="00EA6484" w:rsidRDefault="003C2FB9">
            <w:r>
              <w:t>When</w:t>
            </w:r>
          </w:p>
        </w:tc>
        <w:tc>
          <w:tcPr>
            <w:tcW w:w="3120" w:type="dxa"/>
          </w:tcPr>
          <w:p w14:paraId="0188E76C" w14:textId="77777777" w:rsidR="00EA6484" w:rsidRDefault="003C2FB9">
            <w:r>
              <w:t>What to complete</w:t>
            </w:r>
          </w:p>
        </w:tc>
        <w:tc>
          <w:tcPr>
            <w:tcW w:w="3120" w:type="dxa"/>
          </w:tcPr>
          <w:p w14:paraId="7C22D02E" w14:textId="77777777" w:rsidR="00EA6484" w:rsidRDefault="003C2FB9">
            <w:r>
              <w:t>Key outputs</w:t>
            </w:r>
          </w:p>
        </w:tc>
      </w:tr>
      <w:tr w:rsidR="00EA6484" w14:paraId="34BD3DEA" w14:textId="77777777" w:rsidTr="2D22174D">
        <w:trPr>
          <w:jc w:val="center"/>
        </w:trPr>
        <w:tc>
          <w:tcPr>
            <w:tcW w:w="3120" w:type="dxa"/>
          </w:tcPr>
          <w:p w14:paraId="3EE520C7" w14:textId="47060CD7" w:rsidR="00EA6484" w:rsidRDefault="003C2FB9">
            <w:r>
              <w:t>6–</w:t>
            </w:r>
            <w:r w:rsidR="1928B87D">
              <w:t>12</w:t>
            </w:r>
            <w:r>
              <w:t xml:space="preserve"> months before </w:t>
            </w:r>
          </w:p>
        </w:tc>
        <w:tc>
          <w:tcPr>
            <w:tcW w:w="3120" w:type="dxa"/>
          </w:tcPr>
          <w:p w14:paraId="772752CC" w14:textId="77777777" w:rsidR="00EA6484" w:rsidRDefault="003C2FB9">
            <w:r>
              <w:t>Initial concept, needs assessment, gap statement, preliminary agenda, funding strategy</w:t>
            </w:r>
          </w:p>
        </w:tc>
        <w:tc>
          <w:tcPr>
            <w:tcW w:w="3120" w:type="dxa"/>
          </w:tcPr>
          <w:p w14:paraId="3AA05A84" w14:textId="100AE916" w:rsidR="00EA6484" w:rsidRDefault="003C2FB9">
            <w:r>
              <w:t>Draft agenda; draft budget; preliminary faculty list</w:t>
            </w:r>
            <w:r w:rsidR="00EE0CF2">
              <w:t>; collect disclosures for activity planners; begin CME application.</w:t>
            </w:r>
          </w:p>
        </w:tc>
      </w:tr>
      <w:tr w:rsidR="00EA6484" w14:paraId="3306BCAF" w14:textId="77777777" w:rsidTr="2D22174D">
        <w:trPr>
          <w:jc w:val="center"/>
        </w:trPr>
        <w:tc>
          <w:tcPr>
            <w:tcW w:w="3120" w:type="dxa"/>
          </w:tcPr>
          <w:p w14:paraId="5AFD0A2E" w14:textId="77777777" w:rsidR="00EA6484" w:rsidRDefault="003C2FB9">
            <w:r>
              <w:t>≥ 3 months before (required minimum)</w:t>
            </w:r>
          </w:p>
        </w:tc>
        <w:tc>
          <w:tcPr>
            <w:tcW w:w="3120" w:type="dxa"/>
          </w:tcPr>
          <w:p w14:paraId="387C6E30" w14:textId="29DBD72F" w:rsidR="00EA6484" w:rsidRDefault="003C2FB9">
            <w:r>
              <w:t>Submit complete CME application and required attachments</w:t>
            </w:r>
            <w:r w:rsidR="00EE0CF2">
              <w:t>; grant and marketing requests</w:t>
            </w:r>
          </w:p>
        </w:tc>
        <w:tc>
          <w:tcPr>
            <w:tcW w:w="3120" w:type="dxa"/>
          </w:tcPr>
          <w:p w14:paraId="189BFB5C" w14:textId="75896F6E" w:rsidR="00EA6484" w:rsidRDefault="003C2FB9">
            <w:r>
              <w:t>Submitted application; budget; agenda; speaker spreadsheet</w:t>
            </w:r>
            <w:r w:rsidR="00EE0CF2">
              <w:t>; disclosures for all planners; planning validation form (if applicable)</w:t>
            </w:r>
            <w:r w:rsidR="00F30C91">
              <w:t>; approval of marketing materials</w:t>
            </w:r>
          </w:p>
        </w:tc>
      </w:tr>
      <w:tr w:rsidR="00EA6484" w14:paraId="446CA220" w14:textId="77777777" w:rsidTr="2D22174D">
        <w:trPr>
          <w:jc w:val="center"/>
        </w:trPr>
        <w:tc>
          <w:tcPr>
            <w:tcW w:w="3120" w:type="dxa"/>
          </w:tcPr>
          <w:p w14:paraId="24814B42" w14:textId="77777777" w:rsidR="00EA6484" w:rsidRDefault="003C2FB9">
            <w:r>
              <w:t>4–6 weeks before</w:t>
            </w:r>
          </w:p>
        </w:tc>
        <w:tc>
          <w:tcPr>
            <w:tcW w:w="3120" w:type="dxa"/>
          </w:tcPr>
          <w:p w14:paraId="0F30F9F9" w14:textId="77777777" w:rsidR="00EA6484" w:rsidRDefault="003C2FB9">
            <w:r>
              <w:t>Collect slides, complete content review and mitigation, finalize disclosures and program materials</w:t>
            </w:r>
          </w:p>
        </w:tc>
        <w:tc>
          <w:tcPr>
            <w:tcW w:w="3120" w:type="dxa"/>
          </w:tcPr>
          <w:p w14:paraId="64F27483" w14:textId="7837012E" w:rsidR="00EA6484" w:rsidRDefault="003C2FB9">
            <w:r>
              <w:t xml:space="preserve">Reviewed slides; completed </w:t>
            </w:r>
            <w:r w:rsidR="00EE0CF2">
              <w:t xml:space="preserve">content </w:t>
            </w:r>
            <w:r>
              <w:t>validation; final program</w:t>
            </w:r>
            <w:r w:rsidR="00F30C91">
              <w:t xml:space="preserve">; signed letters of agreement and </w:t>
            </w:r>
            <w:proofErr w:type="gramStart"/>
            <w:r w:rsidR="00F30C91">
              <w:t>hold</w:t>
            </w:r>
            <w:proofErr w:type="gramEnd"/>
            <w:r w:rsidR="00F30C91">
              <w:t xml:space="preserve"> harmless agreements for grants and </w:t>
            </w:r>
            <w:r w:rsidR="00F30C91">
              <w:lastRenderedPageBreak/>
              <w:t>exhibitors (if applicable)</w:t>
            </w:r>
          </w:p>
        </w:tc>
      </w:tr>
      <w:tr w:rsidR="00EA6484" w14:paraId="148602CA" w14:textId="77777777" w:rsidTr="2D22174D">
        <w:trPr>
          <w:jc w:val="center"/>
        </w:trPr>
        <w:tc>
          <w:tcPr>
            <w:tcW w:w="3120" w:type="dxa"/>
          </w:tcPr>
          <w:p w14:paraId="16948BFB" w14:textId="77777777" w:rsidR="00EA6484" w:rsidRDefault="003C2FB9">
            <w:r>
              <w:lastRenderedPageBreak/>
              <w:t>Day of activity</w:t>
            </w:r>
          </w:p>
        </w:tc>
        <w:tc>
          <w:tcPr>
            <w:tcW w:w="3120" w:type="dxa"/>
          </w:tcPr>
          <w:p w14:paraId="5BCAD44E" w14:textId="11E51273" w:rsidR="00EA6484" w:rsidRDefault="003C2FB9">
            <w:r>
              <w:t>Deliver education; ensure separation from marketing; document any last-minute speaker disclosures</w:t>
            </w:r>
            <w:r w:rsidR="00EE0CF2">
              <w:t xml:space="preserve"> and slide review</w:t>
            </w:r>
          </w:p>
        </w:tc>
        <w:tc>
          <w:tcPr>
            <w:tcW w:w="3120" w:type="dxa"/>
          </w:tcPr>
          <w:p w14:paraId="0F3F900D" w14:textId="1C018279" w:rsidR="00EA6484" w:rsidRDefault="003C2FB9">
            <w:r>
              <w:t>Attendance records</w:t>
            </w:r>
          </w:p>
        </w:tc>
      </w:tr>
      <w:tr w:rsidR="00EA6484" w14:paraId="49310932" w14:textId="77777777" w:rsidTr="2D22174D">
        <w:trPr>
          <w:jc w:val="center"/>
        </w:trPr>
        <w:tc>
          <w:tcPr>
            <w:tcW w:w="3120" w:type="dxa"/>
          </w:tcPr>
          <w:p w14:paraId="7425BE78" w14:textId="77777777" w:rsidR="00EA6484" w:rsidRDefault="003C2FB9">
            <w:r>
              <w:t>Within 30 days after</w:t>
            </w:r>
          </w:p>
        </w:tc>
        <w:tc>
          <w:tcPr>
            <w:tcW w:w="3120" w:type="dxa"/>
          </w:tcPr>
          <w:p w14:paraId="6708FF8C" w14:textId="77777777" w:rsidR="00EA6484" w:rsidRDefault="003C2FB9">
            <w:r>
              <w:t>Submit final attendance and budget; review evaluations; complete reporting requirements</w:t>
            </w:r>
          </w:p>
        </w:tc>
        <w:tc>
          <w:tcPr>
            <w:tcW w:w="3120" w:type="dxa"/>
          </w:tcPr>
          <w:p w14:paraId="5F4084BC" w14:textId="55CF8B7C" w:rsidR="00EA6484" w:rsidRDefault="003C2FB9">
            <w:r>
              <w:t>Final budget; attendance; evaluation summary</w:t>
            </w:r>
            <w:r w:rsidR="50B339F3">
              <w:t>; grant reconciliation</w:t>
            </w:r>
          </w:p>
        </w:tc>
      </w:tr>
    </w:tbl>
    <w:p w14:paraId="5A5AED60" w14:textId="77777777" w:rsidR="00EA6484" w:rsidRDefault="003C2FB9">
      <w:r>
        <w:br w:type="page"/>
      </w:r>
    </w:p>
    <w:p w14:paraId="6D516F30" w14:textId="77777777" w:rsidR="00EA6484" w:rsidRDefault="2081AFD7">
      <w:pPr>
        <w:pStyle w:val="Heading1"/>
      </w:pPr>
      <w:bookmarkStart w:id="9" w:name="_Toc1088644153"/>
      <w:bookmarkStart w:id="10" w:name="_Toc1437066228"/>
      <w:bookmarkStart w:id="11" w:name="_Toc238829243"/>
      <w:r>
        <w:lastRenderedPageBreak/>
        <w:t>Table of Contents</w:t>
      </w:r>
      <w:bookmarkEnd w:id="9"/>
      <w:bookmarkEnd w:id="10"/>
      <w:bookmarkEnd w:id="11"/>
    </w:p>
    <w:sdt>
      <w:sdtPr>
        <w:rPr>
          <w:rFonts w:ascii="Calibri" w:eastAsiaTheme="minorEastAsia" w:hAnsi="Calibri" w:cstheme="minorBidi"/>
          <w:b w:val="0"/>
          <w:bCs w:val="0"/>
          <w:color w:val="auto"/>
          <w:sz w:val="22"/>
          <w:szCs w:val="22"/>
        </w:rPr>
        <w:id w:val="538699481"/>
        <w:docPartObj>
          <w:docPartGallery w:val="Table of Contents"/>
          <w:docPartUnique/>
        </w:docPartObj>
      </w:sdtPr>
      <w:sdtEndPr>
        <w:rPr>
          <w:noProof/>
        </w:rPr>
      </w:sdtEndPr>
      <w:sdtContent>
        <w:p w14:paraId="189DE8C0" w14:textId="5ABC9784" w:rsidR="00153E12" w:rsidRDefault="00153E12">
          <w:pPr>
            <w:pStyle w:val="TOCHeading"/>
          </w:pPr>
          <w:r>
            <w:t>Contents</w:t>
          </w:r>
        </w:p>
        <w:p w14:paraId="47FA8A3F" w14:textId="1F6DE83B" w:rsidR="00153E12" w:rsidRDefault="00153E12">
          <w:pPr>
            <w:pStyle w:val="TOC1"/>
            <w:tabs>
              <w:tab w:val="right" w:leader="dot" w:pos="9350"/>
            </w:tabs>
            <w:rPr>
              <w:rFonts w:asciiTheme="minorHAnsi" w:hAnsiTheme="minorHAnsi"/>
              <w:noProof/>
              <w:kern w:val="2"/>
              <w:sz w:val="24"/>
              <w:szCs w:val="24"/>
              <w14:ligatures w14:val="standardContextual"/>
            </w:rPr>
          </w:pPr>
          <w:r>
            <w:fldChar w:fldCharType="begin"/>
          </w:r>
          <w:r>
            <w:instrText xml:space="preserve"> TOC \o "1-3" \h \z \u </w:instrText>
          </w:r>
          <w:r>
            <w:fldChar w:fldCharType="separate"/>
          </w:r>
          <w:hyperlink w:anchor="_Toc238829240" w:history="1">
            <w:r w:rsidRPr="0085354C">
              <w:rPr>
                <w:rStyle w:val="Hyperlink"/>
                <w:noProof/>
              </w:rPr>
              <w:t>Quick Start Guide (At a Glance)</w:t>
            </w:r>
            <w:r>
              <w:rPr>
                <w:noProof/>
                <w:webHidden/>
              </w:rPr>
              <w:tab/>
            </w:r>
            <w:r>
              <w:rPr>
                <w:noProof/>
                <w:webHidden/>
              </w:rPr>
              <w:fldChar w:fldCharType="begin"/>
            </w:r>
            <w:r>
              <w:rPr>
                <w:noProof/>
                <w:webHidden/>
              </w:rPr>
              <w:instrText xml:space="preserve"> PAGEREF _Toc238829240 \h </w:instrText>
            </w:r>
            <w:r>
              <w:rPr>
                <w:noProof/>
                <w:webHidden/>
              </w:rPr>
            </w:r>
            <w:r>
              <w:rPr>
                <w:noProof/>
                <w:webHidden/>
              </w:rPr>
              <w:fldChar w:fldCharType="separate"/>
            </w:r>
            <w:r w:rsidR="00CA5202">
              <w:rPr>
                <w:noProof/>
                <w:webHidden/>
              </w:rPr>
              <w:t>2</w:t>
            </w:r>
            <w:r>
              <w:rPr>
                <w:noProof/>
                <w:webHidden/>
              </w:rPr>
              <w:fldChar w:fldCharType="end"/>
            </w:r>
          </w:hyperlink>
        </w:p>
        <w:p w14:paraId="71967989" w14:textId="70F51FD4"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41" w:history="1">
            <w:r w:rsidRPr="0085354C">
              <w:rPr>
                <w:rStyle w:val="Hyperlink"/>
                <w:noProof/>
              </w:rPr>
              <w:t>Step-by-step checklist</w:t>
            </w:r>
            <w:r>
              <w:rPr>
                <w:noProof/>
                <w:webHidden/>
              </w:rPr>
              <w:tab/>
            </w:r>
            <w:r>
              <w:rPr>
                <w:noProof/>
                <w:webHidden/>
              </w:rPr>
              <w:fldChar w:fldCharType="begin"/>
            </w:r>
            <w:r>
              <w:rPr>
                <w:noProof/>
                <w:webHidden/>
              </w:rPr>
              <w:instrText xml:space="preserve"> PAGEREF _Toc238829241 \h </w:instrText>
            </w:r>
            <w:r>
              <w:rPr>
                <w:noProof/>
                <w:webHidden/>
              </w:rPr>
            </w:r>
            <w:r>
              <w:rPr>
                <w:noProof/>
                <w:webHidden/>
              </w:rPr>
              <w:fldChar w:fldCharType="separate"/>
            </w:r>
            <w:r w:rsidR="00CA5202">
              <w:rPr>
                <w:noProof/>
                <w:webHidden/>
              </w:rPr>
              <w:t>2</w:t>
            </w:r>
            <w:r>
              <w:rPr>
                <w:noProof/>
                <w:webHidden/>
              </w:rPr>
              <w:fldChar w:fldCharType="end"/>
            </w:r>
          </w:hyperlink>
        </w:p>
        <w:p w14:paraId="34C17721" w14:textId="0A81DDE3"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42" w:history="1">
            <w:r w:rsidRPr="0085354C">
              <w:rPr>
                <w:rStyle w:val="Hyperlink"/>
                <w:noProof/>
              </w:rPr>
              <w:t>Recommended planning timeline</w:t>
            </w:r>
            <w:r>
              <w:rPr>
                <w:noProof/>
                <w:webHidden/>
              </w:rPr>
              <w:tab/>
            </w:r>
            <w:r>
              <w:rPr>
                <w:noProof/>
                <w:webHidden/>
              </w:rPr>
              <w:fldChar w:fldCharType="begin"/>
            </w:r>
            <w:r>
              <w:rPr>
                <w:noProof/>
                <w:webHidden/>
              </w:rPr>
              <w:instrText xml:space="preserve"> PAGEREF _Toc238829242 \h </w:instrText>
            </w:r>
            <w:r>
              <w:rPr>
                <w:noProof/>
                <w:webHidden/>
              </w:rPr>
            </w:r>
            <w:r>
              <w:rPr>
                <w:noProof/>
                <w:webHidden/>
              </w:rPr>
              <w:fldChar w:fldCharType="separate"/>
            </w:r>
            <w:r w:rsidR="00CA5202">
              <w:rPr>
                <w:noProof/>
                <w:webHidden/>
              </w:rPr>
              <w:t>2</w:t>
            </w:r>
            <w:r>
              <w:rPr>
                <w:noProof/>
                <w:webHidden/>
              </w:rPr>
              <w:fldChar w:fldCharType="end"/>
            </w:r>
          </w:hyperlink>
        </w:p>
        <w:p w14:paraId="7D03F84A" w14:textId="657F0AC2"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43" w:history="1">
            <w:r w:rsidRPr="0085354C">
              <w:rPr>
                <w:rStyle w:val="Hyperlink"/>
                <w:noProof/>
              </w:rPr>
              <w:t>Table of Contents</w:t>
            </w:r>
            <w:r>
              <w:rPr>
                <w:noProof/>
                <w:webHidden/>
              </w:rPr>
              <w:tab/>
            </w:r>
            <w:r>
              <w:rPr>
                <w:noProof/>
                <w:webHidden/>
              </w:rPr>
              <w:fldChar w:fldCharType="begin"/>
            </w:r>
            <w:r>
              <w:rPr>
                <w:noProof/>
                <w:webHidden/>
              </w:rPr>
              <w:instrText xml:space="preserve"> PAGEREF _Toc238829243 \h </w:instrText>
            </w:r>
            <w:r>
              <w:rPr>
                <w:noProof/>
                <w:webHidden/>
              </w:rPr>
            </w:r>
            <w:r>
              <w:rPr>
                <w:noProof/>
                <w:webHidden/>
              </w:rPr>
              <w:fldChar w:fldCharType="separate"/>
            </w:r>
            <w:r w:rsidR="00CA5202">
              <w:rPr>
                <w:noProof/>
                <w:webHidden/>
              </w:rPr>
              <w:t>4</w:t>
            </w:r>
            <w:r>
              <w:rPr>
                <w:noProof/>
                <w:webHidden/>
              </w:rPr>
              <w:fldChar w:fldCharType="end"/>
            </w:r>
          </w:hyperlink>
        </w:p>
        <w:p w14:paraId="1C591DC7" w14:textId="42BF182E"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44" w:history="1">
            <w:r w:rsidRPr="0085354C">
              <w:rPr>
                <w:rStyle w:val="Hyperlink"/>
                <w:noProof/>
              </w:rPr>
              <w:t>1. Purpose and Scope</w:t>
            </w:r>
            <w:r>
              <w:rPr>
                <w:noProof/>
                <w:webHidden/>
              </w:rPr>
              <w:tab/>
            </w:r>
            <w:r>
              <w:rPr>
                <w:noProof/>
                <w:webHidden/>
              </w:rPr>
              <w:fldChar w:fldCharType="begin"/>
            </w:r>
            <w:r>
              <w:rPr>
                <w:noProof/>
                <w:webHidden/>
              </w:rPr>
              <w:instrText xml:space="preserve"> PAGEREF _Toc238829244 \h </w:instrText>
            </w:r>
            <w:r>
              <w:rPr>
                <w:noProof/>
                <w:webHidden/>
              </w:rPr>
            </w:r>
            <w:r>
              <w:rPr>
                <w:noProof/>
                <w:webHidden/>
              </w:rPr>
              <w:fldChar w:fldCharType="separate"/>
            </w:r>
            <w:r w:rsidR="00CA5202">
              <w:rPr>
                <w:noProof/>
                <w:webHidden/>
              </w:rPr>
              <w:t>6</w:t>
            </w:r>
            <w:r>
              <w:rPr>
                <w:noProof/>
                <w:webHidden/>
              </w:rPr>
              <w:fldChar w:fldCharType="end"/>
            </w:r>
          </w:hyperlink>
        </w:p>
        <w:p w14:paraId="21D82E8A" w14:textId="12E4710F"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45" w:history="1">
            <w:r w:rsidRPr="0085354C">
              <w:rPr>
                <w:rStyle w:val="Hyperlink"/>
                <w:noProof/>
              </w:rPr>
              <w:t>2. What Is Accredited Continuing Medical Education (CME)?</w:t>
            </w:r>
            <w:r>
              <w:rPr>
                <w:noProof/>
                <w:webHidden/>
              </w:rPr>
              <w:tab/>
            </w:r>
            <w:r>
              <w:rPr>
                <w:noProof/>
                <w:webHidden/>
              </w:rPr>
              <w:fldChar w:fldCharType="begin"/>
            </w:r>
            <w:r>
              <w:rPr>
                <w:noProof/>
                <w:webHidden/>
              </w:rPr>
              <w:instrText xml:space="preserve"> PAGEREF _Toc238829245 \h </w:instrText>
            </w:r>
            <w:r>
              <w:rPr>
                <w:noProof/>
                <w:webHidden/>
              </w:rPr>
            </w:r>
            <w:r>
              <w:rPr>
                <w:noProof/>
                <w:webHidden/>
              </w:rPr>
              <w:fldChar w:fldCharType="separate"/>
            </w:r>
            <w:r w:rsidR="00CA5202">
              <w:rPr>
                <w:noProof/>
                <w:webHidden/>
              </w:rPr>
              <w:t>6</w:t>
            </w:r>
            <w:r>
              <w:rPr>
                <w:noProof/>
                <w:webHidden/>
              </w:rPr>
              <w:fldChar w:fldCharType="end"/>
            </w:r>
          </w:hyperlink>
        </w:p>
        <w:p w14:paraId="7D7E3667" w14:textId="6918D4B4"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46" w:history="1">
            <w:r w:rsidRPr="0085354C">
              <w:rPr>
                <w:rStyle w:val="Hyperlink"/>
                <w:noProof/>
              </w:rPr>
              <w:t>3. The ACCME and the FSM Office of CME</w:t>
            </w:r>
            <w:r>
              <w:rPr>
                <w:noProof/>
                <w:webHidden/>
              </w:rPr>
              <w:tab/>
            </w:r>
            <w:r>
              <w:rPr>
                <w:noProof/>
                <w:webHidden/>
              </w:rPr>
              <w:fldChar w:fldCharType="begin"/>
            </w:r>
            <w:r>
              <w:rPr>
                <w:noProof/>
                <w:webHidden/>
              </w:rPr>
              <w:instrText xml:space="preserve"> PAGEREF _Toc238829246 \h </w:instrText>
            </w:r>
            <w:r>
              <w:rPr>
                <w:noProof/>
                <w:webHidden/>
              </w:rPr>
            </w:r>
            <w:r>
              <w:rPr>
                <w:noProof/>
                <w:webHidden/>
              </w:rPr>
              <w:fldChar w:fldCharType="separate"/>
            </w:r>
            <w:r w:rsidR="00CA5202">
              <w:rPr>
                <w:noProof/>
                <w:webHidden/>
              </w:rPr>
              <w:t>6</w:t>
            </w:r>
            <w:r>
              <w:rPr>
                <w:noProof/>
                <w:webHidden/>
              </w:rPr>
              <w:fldChar w:fldCharType="end"/>
            </w:r>
          </w:hyperlink>
        </w:p>
        <w:p w14:paraId="6DF9F830" w14:textId="7228D3F4"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47" w:history="1">
            <w:r w:rsidRPr="0085354C">
              <w:rPr>
                <w:rStyle w:val="Hyperlink"/>
                <w:noProof/>
              </w:rPr>
              <w:t>4. Credit Types Offered</w:t>
            </w:r>
            <w:r>
              <w:rPr>
                <w:noProof/>
                <w:webHidden/>
              </w:rPr>
              <w:tab/>
            </w:r>
            <w:r>
              <w:rPr>
                <w:noProof/>
                <w:webHidden/>
              </w:rPr>
              <w:fldChar w:fldCharType="begin"/>
            </w:r>
            <w:r>
              <w:rPr>
                <w:noProof/>
                <w:webHidden/>
              </w:rPr>
              <w:instrText xml:space="preserve"> PAGEREF _Toc238829247 \h </w:instrText>
            </w:r>
            <w:r>
              <w:rPr>
                <w:noProof/>
                <w:webHidden/>
              </w:rPr>
            </w:r>
            <w:r>
              <w:rPr>
                <w:noProof/>
                <w:webHidden/>
              </w:rPr>
              <w:fldChar w:fldCharType="separate"/>
            </w:r>
            <w:r w:rsidR="00CA5202">
              <w:rPr>
                <w:noProof/>
                <w:webHidden/>
              </w:rPr>
              <w:t>6</w:t>
            </w:r>
            <w:r>
              <w:rPr>
                <w:noProof/>
                <w:webHidden/>
              </w:rPr>
              <w:fldChar w:fldCharType="end"/>
            </w:r>
          </w:hyperlink>
        </w:p>
        <w:p w14:paraId="29B3437F" w14:textId="0800B560"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48" w:history="1">
            <w:r w:rsidRPr="0085354C">
              <w:rPr>
                <w:rStyle w:val="Hyperlink"/>
                <w:noProof/>
              </w:rPr>
              <w:t xml:space="preserve">4.1 </w:t>
            </w:r>
            <w:r w:rsidRPr="0085354C">
              <w:rPr>
                <w:rStyle w:val="Hyperlink"/>
                <w:i/>
                <w:iCs/>
                <w:noProof/>
              </w:rPr>
              <w:t>AMA PRA Category 1 Credit™</w:t>
            </w:r>
            <w:r>
              <w:rPr>
                <w:noProof/>
                <w:webHidden/>
              </w:rPr>
              <w:tab/>
            </w:r>
            <w:r>
              <w:rPr>
                <w:noProof/>
                <w:webHidden/>
              </w:rPr>
              <w:fldChar w:fldCharType="begin"/>
            </w:r>
            <w:r>
              <w:rPr>
                <w:noProof/>
                <w:webHidden/>
              </w:rPr>
              <w:instrText xml:space="preserve"> PAGEREF _Toc238829248 \h </w:instrText>
            </w:r>
            <w:r>
              <w:rPr>
                <w:noProof/>
                <w:webHidden/>
              </w:rPr>
            </w:r>
            <w:r>
              <w:rPr>
                <w:noProof/>
                <w:webHidden/>
              </w:rPr>
              <w:fldChar w:fldCharType="separate"/>
            </w:r>
            <w:r w:rsidR="00CA5202">
              <w:rPr>
                <w:noProof/>
                <w:webHidden/>
              </w:rPr>
              <w:t>6</w:t>
            </w:r>
            <w:r>
              <w:rPr>
                <w:noProof/>
                <w:webHidden/>
              </w:rPr>
              <w:fldChar w:fldCharType="end"/>
            </w:r>
          </w:hyperlink>
        </w:p>
        <w:p w14:paraId="5D3134EE" w14:textId="169C1F33"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49" w:history="1">
            <w:r w:rsidRPr="0085354C">
              <w:rPr>
                <w:rStyle w:val="Hyperlink"/>
                <w:noProof/>
              </w:rPr>
              <w:t>4.2 Non-Physician Attendance Credit</w:t>
            </w:r>
            <w:r>
              <w:rPr>
                <w:noProof/>
                <w:webHidden/>
              </w:rPr>
              <w:tab/>
            </w:r>
            <w:r>
              <w:rPr>
                <w:noProof/>
                <w:webHidden/>
              </w:rPr>
              <w:fldChar w:fldCharType="begin"/>
            </w:r>
            <w:r>
              <w:rPr>
                <w:noProof/>
                <w:webHidden/>
              </w:rPr>
              <w:instrText xml:space="preserve"> PAGEREF _Toc238829249 \h </w:instrText>
            </w:r>
            <w:r>
              <w:rPr>
                <w:noProof/>
                <w:webHidden/>
              </w:rPr>
            </w:r>
            <w:r>
              <w:rPr>
                <w:noProof/>
                <w:webHidden/>
              </w:rPr>
              <w:fldChar w:fldCharType="separate"/>
            </w:r>
            <w:r w:rsidR="00CA5202">
              <w:rPr>
                <w:noProof/>
                <w:webHidden/>
              </w:rPr>
              <w:t>7</w:t>
            </w:r>
            <w:r>
              <w:rPr>
                <w:noProof/>
                <w:webHidden/>
              </w:rPr>
              <w:fldChar w:fldCharType="end"/>
            </w:r>
          </w:hyperlink>
        </w:p>
        <w:p w14:paraId="43C8677A" w14:textId="52AFB6F8"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50" w:history="1">
            <w:r w:rsidRPr="0085354C">
              <w:rPr>
                <w:rStyle w:val="Hyperlink"/>
                <w:noProof/>
              </w:rPr>
              <w:t>4.3 Maintenance of Certification (MOC) / Continuing Certification (CC)</w:t>
            </w:r>
            <w:r>
              <w:rPr>
                <w:noProof/>
                <w:webHidden/>
              </w:rPr>
              <w:tab/>
            </w:r>
            <w:r>
              <w:rPr>
                <w:noProof/>
                <w:webHidden/>
              </w:rPr>
              <w:fldChar w:fldCharType="begin"/>
            </w:r>
            <w:r>
              <w:rPr>
                <w:noProof/>
                <w:webHidden/>
              </w:rPr>
              <w:instrText xml:space="preserve"> PAGEREF _Toc238829250 \h </w:instrText>
            </w:r>
            <w:r>
              <w:rPr>
                <w:noProof/>
                <w:webHidden/>
              </w:rPr>
            </w:r>
            <w:r>
              <w:rPr>
                <w:noProof/>
                <w:webHidden/>
              </w:rPr>
              <w:fldChar w:fldCharType="separate"/>
            </w:r>
            <w:r w:rsidR="00CA5202">
              <w:rPr>
                <w:noProof/>
                <w:webHidden/>
              </w:rPr>
              <w:t>7</w:t>
            </w:r>
            <w:r>
              <w:rPr>
                <w:noProof/>
                <w:webHidden/>
              </w:rPr>
              <w:fldChar w:fldCharType="end"/>
            </w:r>
          </w:hyperlink>
        </w:p>
        <w:p w14:paraId="7A368510" w14:textId="4EE05462"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51" w:history="1">
            <w:r w:rsidRPr="0085354C">
              <w:rPr>
                <w:rStyle w:val="Hyperlink"/>
                <w:noProof/>
              </w:rPr>
              <w:t>5. CME Providership Models and Activity Types</w:t>
            </w:r>
            <w:r>
              <w:rPr>
                <w:noProof/>
                <w:webHidden/>
              </w:rPr>
              <w:tab/>
            </w:r>
            <w:r>
              <w:rPr>
                <w:noProof/>
                <w:webHidden/>
              </w:rPr>
              <w:fldChar w:fldCharType="begin"/>
            </w:r>
            <w:r>
              <w:rPr>
                <w:noProof/>
                <w:webHidden/>
              </w:rPr>
              <w:instrText xml:space="preserve"> PAGEREF _Toc238829251 \h </w:instrText>
            </w:r>
            <w:r>
              <w:rPr>
                <w:noProof/>
                <w:webHidden/>
              </w:rPr>
            </w:r>
            <w:r>
              <w:rPr>
                <w:noProof/>
                <w:webHidden/>
              </w:rPr>
              <w:fldChar w:fldCharType="separate"/>
            </w:r>
            <w:r w:rsidR="00CA5202">
              <w:rPr>
                <w:noProof/>
                <w:webHidden/>
              </w:rPr>
              <w:t>7</w:t>
            </w:r>
            <w:r>
              <w:rPr>
                <w:noProof/>
                <w:webHidden/>
              </w:rPr>
              <w:fldChar w:fldCharType="end"/>
            </w:r>
          </w:hyperlink>
        </w:p>
        <w:p w14:paraId="189BBD89" w14:textId="37CDB83F"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52" w:history="1">
            <w:r w:rsidRPr="0085354C">
              <w:rPr>
                <w:rStyle w:val="Hyperlink"/>
                <w:noProof/>
              </w:rPr>
              <w:t>5.1 Providership Models</w:t>
            </w:r>
            <w:r>
              <w:rPr>
                <w:noProof/>
                <w:webHidden/>
              </w:rPr>
              <w:tab/>
            </w:r>
            <w:r>
              <w:rPr>
                <w:noProof/>
                <w:webHidden/>
              </w:rPr>
              <w:fldChar w:fldCharType="begin"/>
            </w:r>
            <w:r>
              <w:rPr>
                <w:noProof/>
                <w:webHidden/>
              </w:rPr>
              <w:instrText xml:space="preserve"> PAGEREF _Toc238829252 \h </w:instrText>
            </w:r>
            <w:r>
              <w:rPr>
                <w:noProof/>
                <w:webHidden/>
              </w:rPr>
            </w:r>
            <w:r>
              <w:rPr>
                <w:noProof/>
                <w:webHidden/>
              </w:rPr>
              <w:fldChar w:fldCharType="separate"/>
            </w:r>
            <w:r w:rsidR="00CA5202">
              <w:rPr>
                <w:noProof/>
                <w:webHidden/>
              </w:rPr>
              <w:t>7</w:t>
            </w:r>
            <w:r>
              <w:rPr>
                <w:noProof/>
                <w:webHidden/>
              </w:rPr>
              <w:fldChar w:fldCharType="end"/>
            </w:r>
          </w:hyperlink>
        </w:p>
        <w:p w14:paraId="29C2FB06" w14:textId="31553E10"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53" w:history="1">
            <w:r w:rsidRPr="0085354C">
              <w:rPr>
                <w:rStyle w:val="Hyperlink"/>
                <w:noProof/>
              </w:rPr>
              <w:t>5.2 Activity Types</w:t>
            </w:r>
            <w:r>
              <w:rPr>
                <w:noProof/>
                <w:webHidden/>
              </w:rPr>
              <w:tab/>
            </w:r>
            <w:r>
              <w:rPr>
                <w:noProof/>
                <w:webHidden/>
              </w:rPr>
              <w:fldChar w:fldCharType="begin"/>
            </w:r>
            <w:r>
              <w:rPr>
                <w:noProof/>
                <w:webHidden/>
              </w:rPr>
              <w:instrText xml:space="preserve"> PAGEREF _Toc238829253 \h </w:instrText>
            </w:r>
            <w:r>
              <w:rPr>
                <w:noProof/>
                <w:webHidden/>
              </w:rPr>
            </w:r>
            <w:r>
              <w:rPr>
                <w:noProof/>
                <w:webHidden/>
              </w:rPr>
              <w:fldChar w:fldCharType="separate"/>
            </w:r>
            <w:r w:rsidR="00CA5202">
              <w:rPr>
                <w:noProof/>
                <w:webHidden/>
              </w:rPr>
              <w:t>7</w:t>
            </w:r>
            <w:r>
              <w:rPr>
                <w:noProof/>
                <w:webHidden/>
              </w:rPr>
              <w:fldChar w:fldCharType="end"/>
            </w:r>
          </w:hyperlink>
        </w:p>
        <w:p w14:paraId="3824EF3F" w14:textId="743FE8F7"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54" w:history="1">
            <w:r w:rsidRPr="0085354C">
              <w:rPr>
                <w:rStyle w:val="Hyperlink"/>
                <w:noProof/>
              </w:rPr>
              <w:t>6. Educational Planning and Outcomes</w:t>
            </w:r>
            <w:r>
              <w:rPr>
                <w:noProof/>
                <w:webHidden/>
              </w:rPr>
              <w:tab/>
            </w:r>
            <w:r>
              <w:rPr>
                <w:noProof/>
                <w:webHidden/>
              </w:rPr>
              <w:fldChar w:fldCharType="begin"/>
            </w:r>
            <w:r>
              <w:rPr>
                <w:noProof/>
                <w:webHidden/>
              </w:rPr>
              <w:instrText xml:space="preserve"> PAGEREF _Toc238829254 \h </w:instrText>
            </w:r>
            <w:r>
              <w:rPr>
                <w:noProof/>
                <w:webHidden/>
              </w:rPr>
            </w:r>
            <w:r>
              <w:rPr>
                <w:noProof/>
                <w:webHidden/>
              </w:rPr>
              <w:fldChar w:fldCharType="separate"/>
            </w:r>
            <w:r w:rsidR="00CA5202">
              <w:rPr>
                <w:noProof/>
                <w:webHidden/>
              </w:rPr>
              <w:t>8</w:t>
            </w:r>
            <w:r>
              <w:rPr>
                <w:noProof/>
                <w:webHidden/>
              </w:rPr>
              <w:fldChar w:fldCharType="end"/>
            </w:r>
          </w:hyperlink>
        </w:p>
        <w:p w14:paraId="7BFB0419" w14:textId="50725F9C"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55" w:history="1">
            <w:r w:rsidRPr="0085354C">
              <w:rPr>
                <w:rStyle w:val="Hyperlink"/>
                <w:noProof/>
              </w:rPr>
              <w:t>6.1 Needs assessment and gap</w:t>
            </w:r>
            <w:r>
              <w:rPr>
                <w:noProof/>
                <w:webHidden/>
              </w:rPr>
              <w:tab/>
            </w:r>
            <w:r>
              <w:rPr>
                <w:noProof/>
                <w:webHidden/>
              </w:rPr>
              <w:fldChar w:fldCharType="begin"/>
            </w:r>
            <w:r>
              <w:rPr>
                <w:noProof/>
                <w:webHidden/>
              </w:rPr>
              <w:instrText xml:space="preserve"> PAGEREF _Toc238829255 \h </w:instrText>
            </w:r>
            <w:r>
              <w:rPr>
                <w:noProof/>
                <w:webHidden/>
              </w:rPr>
            </w:r>
            <w:r>
              <w:rPr>
                <w:noProof/>
                <w:webHidden/>
              </w:rPr>
              <w:fldChar w:fldCharType="separate"/>
            </w:r>
            <w:r w:rsidR="00CA5202">
              <w:rPr>
                <w:noProof/>
                <w:webHidden/>
              </w:rPr>
              <w:t>8</w:t>
            </w:r>
            <w:r>
              <w:rPr>
                <w:noProof/>
                <w:webHidden/>
              </w:rPr>
              <w:fldChar w:fldCharType="end"/>
            </w:r>
          </w:hyperlink>
        </w:p>
        <w:p w14:paraId="67D92678" w14:textId="7C0FCCDA"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56" w:history="1">
            <w:r w:rsidRPr="0085354C">
              <w:rPr>
                <w:rStyle w:val="Hyperlink"/>
                <w:noProof/>
              </w:rPr>
              <w:t>6.2 Learning objectives and educational design</w:t>
            </w:r>
            <w:r>
              <w:rPr>
                <w:noProof/>
                <w:webHidden/>
              </w:rPr>
              <w:tab/>
            </w:r>
            <w:r>
              <w:rPr>
                <w:noProof/>
                <w:webHidden/>
              </w:rPr>
              <w:fldChar w:fldCharType="begin"/>
            </w:r>
            <w:r>
              <w:rPr>
                <w:noProof/>
                <w:webHidden/>
              </w:rPr>
              <w:instrText xml:space="preserve"> PAGEREF _Toc238829256 \h </w:instrText>
            </w:r>
            <w:r>
              <w:rPr>
                <w:noProof/>
                <w:webHidden/>
              </w:rPr>
            </w:r>
            <w:r>
              <w:rPr>
                <w:noProof/>
                <w:webHidden/>
              </w:rPr>
              <w:fldChar w:fldCharType="separate"/>
            </w:r>
            <w:r w:rsidR="00CA5202">
              <w:rPr>
                <w:noProof/>
                <w:webHidden/>
              </w:rPr>
              <w:t>8</w:t>
            </w:r>
            <w:r>
              <w:rPr>
                <w:noProof/>
                <w:webHidden/>
              </w:rPr>
              <w:fldChar w:fldCharType="end"/>
            </w:r>
          </w:hyperlink>
        </w:p>
        <w:p w14:paraId="10A5BF4F" w14:textId="6EAD2704"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57" w:history="1">
            <w:r w:rsidRPr="0085354C">
              <w:rPr>
                <w:rStyle w:val="Hyperlink"/>
                <w:noProof/>
              </w:rPr>
              <w:t>6.3 Evaluation and outcomes measurement</w:t>
            </w:r>
            <w:r>
              <w:rPr>
                <w:noProof/>
                <w:webHidden/>
              </w:rPr>
              <w:tab/>
            </w:r>
            <w:r>
              <w:rPr>
                <w:noProof/>
                <w:webHidden/>
              </w:rPr>
              <w:fldChar w:fldCharType="begin"/>
            </w:r>
            <w:r>
              <w:rPr>
                <w:noProof/>
                <w:webHidden/>
              </w:rPr>
              <w:instrText xml:space="preserve"> PAGEREF _Toc238829257 \h </w:instrText>
            </w:r>
            <w:r>
              <w:rPr>
                <w:noProof/>
                <w:webHidden/>
              </w:rPr>
            </w:r>
            <w:r>
              <w:rPr>
                <w:noProof/>
                <w:webHidden/>
              </w:rPr>
              <w:fldChar w:fldCharType="separate"/>
            </w:r>
            <w:r w:rsidR="00CA5202">
              <w:rPr>
                <w:noProof/>
                <w:webHidden/>
              </w:rPr>
              <w:t>8</w:t>
            </w:r>
            <w:r>
              <w:rPr>
                <w:noProof/>
                <w:webHidden/>
              </w:rPr>
              <w:fldChar w:fldCharType="end"/>
            </w:r>
          </w:hyperlink>
        </w:p>
        <w:p w14:paraId="41A8FAE3" w14:textId="50D6EA4F"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58" w:history="1">
            <w:r w:rsidRPr="0085354C">
              <w:rPr>
                <w:rStyle w:val="Hyperlink"/>
                <w:noProof/>
              </w:rPr>
              <w:t>7. Maintenance of Certification (MOC) &amp; Continuing Certification (CC)</w:t>
            </w:r>
            <w:r>
              <w:rPr>
                <w:noProof/>
                <w:webHidden/>
              </w:rPr>
              <w:tab/>
            </w:r>
            <w:r>
              <w:rPr>
                <w:noProof/>
                <w:webHidden/>
              </w:rPr>
              <w:fldChar w:fldCharType="begin"/>
            </w:r>
            <w:r>
              <w:rPr>
                <w:noProof/>
                <w:webHidden/>
              </w:rPr>
              <w:instrText xml:space="preserve"> PAGEREF _Toc238829258 \h </w:instrText>
            </w:r>
            <w:r>
              <w:rPr>
                <w:noProof/>
                <w:webHidden/>
              </w:rPr>
            </w:r>
            <w:r>
              <w:rPr>
                <w:noProof/>
                <w:webHidden/>
              </w:rPr>
              <w:fldChar w:fldCharType="separate"/>
            </w:r>
            <w:r w:rsidR="00CA5202">
              <w:rPr>
                <w:noProof/>
                <w:webHidden/>
              </w:rPr>
              <w:t>8</w:t>
            </w:r>
            <w:r>
              <w:rPr>
                <w:noProof/>
                <w:webHidden/>
              </w:rPr>
              <w:fldChar w:fldCharType="end"/>
            </w:r>
          </w:hyperlink>
        </w:p>
        <w:p w14:paraId="0AADB15B" w14:textId="787D01D7"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59" w:history="1">
            <w:r w:rsidRPr="0085354C">
              <w:rPr>
                <w:rStyle w:val="Hyperlink"/>
                <w:noProof/>
              </w:rPr>
              <w:t>7.1 Benefits of Integrating MOC/CC into a CME Activity</w:t>
            </w:r>
            <w:r>
              <w:rPr>
                <w:noProof/>
                <w:webHidden/>
              </w:rPr>
              <w:tab/>
            </w:r>
            <w:r>
              <w:rPr>
                <w:noProof/>
                <w:webHidden/>
              </w:rPr>
              <w:fldChar w:fldCharType="begin"/>
            </w:r>
            <w:r>
              <w:rPr>
                <w:noProof/>
                <w:webHidden/>
              </w:rPr>
              <w:instrText xml:space="preserve"> PAGEREF _Toc238829259 \h </w:instrText>
            </w:r>
            <w:r>
              <w:rPr>
                <w:noProof/>
                <w:webHidden/>
              </w:rPr>
            </w:r>
            <w:r>
              <w:rPr>
                <w:noProof/>
                <w:webHidden/>
              </w:rPr>
              <w:fldChar w:fldCharType="separate"/>
            </w:r>
            <w:r w:rsidR="00CA5202">
              <w:rPr>
                <w:noProof/>
                <w:webHidden/>
              </w:rPr>
              <w:t>9</w:t>
            </w:r>
            <w:r>
              <w:rPr>
                <w:noProof/>
                <w:webHidden/>
              </w:rPr>
              <w:fldChar w:fldCharType="end"/>
            </w:r>
          </w:hyperlink>
        </w:p>
        <w:p w14:paraId="4479B033" w14:textId="770ACECC"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60" w:history="1">
            <w:r w:rsidRPr="0085354C">
              <w:rPr>
                <w:rStyle w:val="Hyperlink"/>
                <w:noProof/>
              </w:rPr>
              <w:t>7.2 Planning CME Activities with MOC/CC in Mind</w:t>
            </w:r>
            <w:r>
              <w:rPr>
                <w:noProof/>
                <w:webHidden/>
              </w:rPr>
              <w:tab/>
            </w:r>
            <w:r>
              <w:rPr>
                <w:noProof/>
                <w:webHidden/>
              </w:rPr>
              <w:fldChar w:fldCharType="begin"/>
            </w:r>
            <w:r>
              <w:rPr>
                <w:noProof/>
                <w:webHidden/>
              </w:rPr>
              <w:instrText xml:space="preserve"> PAGEREF _Toc238829260 \h </w:instrText>
            </w:r>
            <w:r>
              <w:rPr>
                <w:noProof/>
                <w:webHidden/>
              </w:rPr>
            </w:r>
            <w:r>
              <w:rPr>
                <w:noProof/>
                <w:webHidden/>
              </w:rPr>
              <w:fldChar w:fldCharType="separate"/>
            </w:r>
            <w:r w:rsidR="00CA5202">
              <w:rPr>
                <w:noProof/>
                <w:webHidden/>
              </w:rPr>
              <w:t>9</w:t>
            </w:r>
            <w:r>
              <w:rPr>
                <w:noProof/>
                <w:webHidden/>
              </w:rPr>
              <w:fldChar w:fldCharType="end"/>
            </w:r>
          </w:hyperlink>
        </w:p>
        <w:p w14:paraId="0B695A97" w14:textId="19D51219" w:rsidR="00153E12" w:rsidRDefault="00153E12">
          <w:pPr>
            <w:pStyle w:val="TOC3"/>
            <w:tabs>
              <w:tab w:val="right" w:leader="dot" w:pos="9350"/>
            </w:tabs>
            <w:rPr>
              <w:rFonts w:asciiTheme="minorHAnsi" w:hAnsiTheme="minorHAnsi"/>
              <w:noProof/>
              <w:kern w:val="2"/>
              <w:sz w:val="24"/>
              <w:szCs w:val="24"/>
              <w14:ligatures w14:val="standardContextual"/>
            </w:rPr>
          </w:pPr>
          <w:hyperlink w:anchor="_Toc238829261" w:history="1">
            <w:r w:rsidRPr="0085354C">
              <w:rPr>
                <w:rStyle w:val="Hyperlink"/>
                <w:noProof/>
              </w:rPr>
              <w:t>BEFORE the activity:</w:t>
            </w:r>
            <w:r>
              <w:rPr>
                <w:noProof/>
                <w:webHidden/>
              </w:rPr>
              <w:tab/>
            </w:r>
            <w:r>
              <w:rPr>
                <w:noProof/>
                <w:webHidden/>
              </w:rPr>
              <w:fldChar w:fldCharType="begin"/>
            </w:r>
            <w:r>
              <w:rPr>
                <w:noProof/>
                <w:webHidden/>
              </w:rPr>
              <w:instrText xml:space="preserve"> PAGEREF _Toc238829261 \h </w:instrText>
            </w:r>
            <w:r>
              <w:rPr>
                <w:noProof/>
                <w:webHidden/>
              </w:rPr>
            </w:r>
            <w:r>
              <w:rPr>
                <w:noProof/>
                <w:webHidden/>
              </w:rPr>
              <w:fldChar w:fldCharType="separate"/>
            </w:r>
            <w:r w:rsidR="00CA5202">
              <w:rPr>
                <w:noProof/>
                <w:webHidden/>
              </w:rPr>
              <w:t>9</w:t>
            </w:r>
            <w:r>
              <w:rPr>
                <w:noProof/>
                <w:webHidden/>
              </w:rPr>
              <w:fldChar w:fldCharType="end"/>
            </w:r>
          </w:hyperlink>
        </w:p>
        <w:p w14:paraId="63C4FFF6" w14:textId="6561CA19" w:rsidR="00153E12" w:rsidRDefault="00153E12">
          <w:pPr>
            <w:pStyle w:val="TOC3"/>
            <w:tabs>
              <w:tab w:val="right" w:leader="dot" w:pos="9350"/>
            </w:tabs>
            <w:rPr>
              <w:rFonts w:asciiTheme="minorHAnsi" w:hAnsiTheme="minorHAnsi"/>
              <w:noProof/>
              <w:kern w:val="2"/>
              <w:sz w:val="24"/>
              <w:szCs w:val="24"/>
              <w14:ligatures w14:val="standardContextual"/>
            </w:rPr>
          </w:pPr>
          <w:hyperlink w:anchor="_Toc238829262" w:history="1">
            <w:r w:rsidRPr="0085354C">
              <w:rPr>
                <w:rStyle w:val="Hyperlink"/>
                <w:noProof/>
              </w:rPr>
              <w:t>DURING the activity:</w:t>
            </w:r>
            <w:r>
              <w:rPr>
                <w:noProof/>
                <w:webHidden/>
              </w:rPr>
              <w:tab/>
            </w:r>
            <w:r>
              <w:rPr>
                <w:noProof/>
                <w:webHidden/>
              </w:rPr>
              <w:fldChar w:fldCharType="begin"/>
            </w:r>
            <w:r>
              <w:rPr>
                <w:noProof/>
                <w:webHidden/>
              </w:rPr>
              <w:instrText xml:space="preserve"> PAGEREF _Toc238829262 \h </w:instrText>
            </w:r>
            <w:r>
              <w:rPr>
                <w:noProof/>
                <w:webHidden/>
              </w:rPr>
            </w:r>
            <w:r>
              <w:rPr>
                <w:noProof/>
                <w:webHidden/>
              </w:rPr>
              <w:fldChar w:fldCharType="separate"/>
            </w:r>
            <w:r w:rsidR="00CA5202">
              <w:rPr>
                <w:noProof/>
                <w:webHidden/>
              </w:rPr>
              <w:t>9</w:t>
            </w:r>
            <w:r>
              <w:rPr>
                <w:noProof/>
                <w:webHidden/>
              </w:rPr>
              <w:fldChar w:fldCharType="end"/>
            </w:r>
          </w:hyperlink>
        </w:p>
        <w:p w14:paraId="179C678C" w14:textId="40A7B137" w:rsidR="00153E12" w:rsidRDefault="00153E12">
          <w:pPr>
            <w:pStyle w:val="TOC3"/>
            <w:tabs>
              <w:tab w:val="right" w:leader="dot" w:pos="9350"/>
            </w:tabs>
            <w:rPr>
              <w:rFonts w:asciiTheme="minorHAnsi" w:hAnsiTheme="minorHAnsi"/>
              <w:noProof/>
              <w:kern w:val="2"/>
              <w:sz w:val="24"/>
              <w:szCs w:val="24"/>
              <w14:ligatures w14:val="standardContextual"/>
            </w:rPr>
          </w:pPr>
          <w:hyperlink w:anchor="_Toc238829263" w:history="1">
            <w:r w:rsidRPr="0085354C">
              <w:rPr>
                <w:rStyle w:val="Hyperlink"/>
                <w:noProof/>
              </w:rPr>
              <w:t>AFTER the activity:</w:t>
            </w:r>
            <w:r>
              <w:rPr>
                <w:noProof/>
                <w:webHidden/>
              </w:rPr>
              <w:tab/>
            </w:r>
            <w:r>
              <w:rPr>
                <w:noProof/>
                <w:webHidden/>
              </w:rPr>
              <w:fldChar w:fldCharType="begin"/>
            </w:r>
            <w:r>
              <w:rPr>
                <w:noProof/>
                <w:webHidden/>
              </w:rPr>
              <w:instrText xml:space="preserve"> PAGEREF _Toc238829263 \h </w:instrText>
            </w:r>
            <w:r>
              <w:rPr>
                <w:noProof/>
                <w:webHidden/>
              </w:rPr>
            </w:r>
            <w:r>
              <w:rPr>
                <w:noProof/>
                <w:webHidden/>
              </w:rPr>
              <w:fldChar w:fldCharType="separate"/>
            </w:r>
            <w:r w:rsidR="00CA5202">
              <w:rPr>
                <w:noProof/>
                <w:webHidden/>
              </w:rPr>
              <w:t>10</w:t>
            </w:r>
            <w:r>
              <w:rPr>
                <w:noProof/>
                <w:webHidden/>
              </w:rPr>
              <w:fldChar w:fldCharType="end"/>
            </w:r>
          </w:hyperlink>
        </w:p>
        <w:p w14:paraId="663D1DE7" w14:textId="24F59314"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64" w:history="1">
            <w:r w:rsidRPr="0085354C">
              <w:rPr>
                <w:rStyle w:val="Hyperlink"/>
                <w:noProof/>
              </w:rPr>
              <w:t>8. Collaborative Learning Culture and Accessibility</w:t>
            </w:r>
            <w:r>
              <w:rPr>
                <w:noProof/>
                <w:webHidden/>
              </w:rPr>
              <w:tab/>
            </w:r>
            <w:r>
              <w:rPr>
                <w:noProof/>
                <w:webHidden/>
              </w:rPr>
              <w:fldChar w:fldCharType="begin"/>
            </w:r>
            <w:r>
              <w:rPr>
                <w:noProof/>
                <w:webHidden/>
              </w:rPr>
              <w:instrText xml:space="preserve"> PAGEREF _Toc238829264 \h </w:instrText>
            </w:r>
            <w:r>
              <w:rPr>
                <w:noProof/>
                <w:webHidden/>
              </w:rPr>
            </w:r>
            <w:r>
              <w:rPr>
                <w:noProof/>
                <w:webHidden/>
              </w:rPr>
              <w:fldChar w:fldCharType="separate"/>
            </w:r>
            <w:r w:rsidR="00CA5202">
              <w:rPr>
                <w:noProof/>
                <w:webHidden/>
              </w:rPr>
              <w:t>10</w:t>
            </w:r>
            <w:r>
              <w:rPr>
                <w:noProof/>
                <w:webHidden/>
              </w:rPr>
              <w:fldChar w:fldCharType="end"/>
            </w:r>
          </w:hyperlink>
        </w:p>
        <w:p w14:paraId="51B12206" w14:textId="44CDDCF0"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65" w:history="1">
            <w:r w:rsidRPr="0085354C">
              <w:rPr>
                <w:rStyle w:val="Hyperlink"/>
                <w:noProof/>
              </w:rPr>
              <w:t>9. Funding and Budgeting</w:t>
            </w:r>
            <w:r>
              <w:rPr>
                <w:noProof/>
                <w:webHidden/>
              </w:rPr>
              <w:tab/>
            </w:r>
            <w:r>
              <w:rPr>
                <w:noProof/>
                <w:webHidden/>
              </w:rPr>
              <w:fldChar w:fldCharType="begin"/>
            </w:r>
            <w:r>
              <w:rPr>
                <w:noProof/>
                <w:webHidden/>
              </w:rPr>
              <w:instrText xml:space="preserve"> PAGEREF _Toc238829265 \h </w:instrText>
            </w:r>
            <w:r>
              <w:rPr>
                <w:noProof/>
                <w:webHidden/>
              </w:rPr>
            </w:r>
            <w:r>
              <w:rPr>
                <w:noProof/>
                <w:webHidden/>
              </w:rPr>
              <w:fldChar w:fldCharType="separate"/>
            </w:r>
            <w:r w:rsidR="00CA5202">
              <w:rPr>
                <w:noProof/>
                <w:webHidden/>
              </w:rPr>
              <w:t>10</w:t>
            </w:r>
            <w:r>
              <w:rPr>
                <w:noProof/>
                <w:webHidden/>
              </w:rPr>
              <w:fldChar w:fldCharType="end"/>
            </w:r>
          </w:hyperlink>
        </w:p>
        <w:p w14:paraId="13732ABB" w14:textId="4FE14FB0"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66" w:history="1">
            <w:r w:rsidRPr="0085354C">
              <w:rPr>
                <w:rStyle w:val="Hyperlink"/>
                <w:noProof/>
              </w:rPr>
              <w:t>10. Roles and Responsibilities</w:t>
            </w:r>
            <w:r>
              <w:rPr>
                <w:noProof/>
                <w:webHidden/>
              </w:rPr>
              <w:tab/>
            </w:r>
            <w:r>
              <w:rPr>
                <w:noProof/>
                <w:webHidden/>
              </w:rPr>
              <w:fldChar w:fldCharType="begin"/>
            </w:r>
            <w:r>
              <w:rPr>
                <w:noProof/>
                <w:webHidden/>
              </w:rPr>
              <w:instrText xml:space="preserve"> PAGEREF _Toc238829266 \h </w:instrText>
            </w:r>
            <w:r>
              <w:rPr>
                <w:noProof/>
                <w:webHidden/>
              </w:rPr>
            </w:r>
            <w:r>
              <w:rPr>
                <w:noProof/>
                <w:webHidden/>
              </w:rPr>
              <w:fldChar w:fldCharType="separate"/>
            </w:r>
            <w:r w:rsidR="00CA5202">
              <w:rPr>
                <w:noProof/>
                <w:webHidden/>
              </w:rPr>
              <w:t>10</w:t>
            </w:r>
            <w:r>
              <w:rPr>
                <w:noProof/>
                <w:webHidden/>
              </w:rPr>
              <w:fldChar w:fldCharType="end"/>
            </w:r>
          </w:hyperlink>
        </w:p>
        <w:p w14:paraId="443B06A6" w14:textId="105851D5"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67" w:history="1">
            <w:r w:rsidRPr="0085354C">
              <w:rPr>
                <w:rStyle w:val="Hyperlink"/>
                <w:noProof/>
              </w:rPr>
              <w:t>10.1 Course Director(s)</w:t>
            </w:r>
            <w:r>
              <w:rPr>
                <w:noProof/>
                <w:webHidden/>
              </w:rPr>
              <w:tab/>
            </w:r>
            <w:r>
              <w:rPr>
                <w:noProof/>
                <w:webHidden/>
              </w:rPr>
              <w:fldChar w:fldCharType="begin"/>
            </w:r>
            <w:r>
              <w:rPr>
                <w:noProof/>
                <w:webHidden/>
              </w:rPr>
              <w:instrText xml:space="preserve"> PAGEREF _Toc238829267 \h </w:instrText>
            </w:r>
            <w:r>
              <w:rPr>
                <w:noProof/>
                <w:webHidden/>
              </w:rPr>
            </w:r>
            <w:r>
              <w:rPr>
                <w:noProof/>
                <w:webHidden/>
              </w:rPr>
              <w:fldChar w:fldCharType="separate"/>
            </w:r>
            <w:r w:rsidR="00CA5202">
              <w:rPr>
                <w:noProof/>
                <w:webHidden/>
              </w:rPr>
              <w:t>10</w:t>
            </w:r>
            <w:r>
              <w:rPr>
                <w:noProof/>
                <w:webHidden/>
              </w:rPr>
              <w:fldChar w:fldCharType="end"/>
            </w:r>
          </w:hyperlink>
        </w:p>
        <w:p w14:paraId="277AE96B" w14:textId="13ACE17F"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68" w:history="1">
            <w:r w:rsidRPr="0085354C">
              <w:rPr>
                <w:rStyle w:val="Hyperlink"/>
                <w:noProof/>
              </w:rPr>
              <w:t>10.2 Planning Committee (if applicable)</w:t>
            </w:r>
            <w:r>
              <w:rPr>
                <w:noProof/>
                <w:webHidden/>
              </w:rPr>
              <w:tab/>
            </w:r>
            <w:r>
              <w:rPr>
                <w:noProof/>
                <w:webHidden/>
              </w:rPr>
              <w:fldChar w:fldCharType="begin"/>
            </w:r>
            <w:r>
              <w:rPr>
                <w:noProof/>
                <w:webHidden/>
              </w:rPr>
              <w:instrText xml:space="preserve"> PAGEREF _Toc238829268 \h </w:instrText>
            </w:r>
            <w:r>
              <w:rPr>
                <w:noProof/>
                <w:webHidden/>
              </w:rPr>
            </w:r>
            <w:r>
              <w:rPr>
                <w:noProof/>
                <w:webHidden/>
              </w:rPr>
              <w:fldChar w:fldCharType="separate"/>
            </w:r>
            <w:r w:rsidR="00CA5202">
              <w:rPr>
                <w:noProof/>
                <w:webHidden/>
              </w:rPr>
              <w:t>11</w:t>
            </w:r>
            <w:r>
              <w:rPr>
                <w:noProof/>
                <w:webHidden/>
              </w:rPr>
              <w:fldChar w:fldCharType="end"/>
            </w:r>
          </w:hyperlink>
        </w:p>
        <w:p w14:paraId="315982EA" w14:textId="74F72671"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69" w:history="1">
            <w:r w:rsidRPr="0085354C">
              <w:rPr>
                <w:rStyle w:val="Hyperlink"/>
                <w:noProof/>
              </w:rPr>
              <w:t>10.3 Course Coordinator(s)</w:t>
            </w:r>
            <w:r>
              <w:rPr>
                <w:noProof/>
                <w:webHidden/>
              </w:rPr>
              <w:tab/>
            </w:r>
            <w:r>
              <w:rPr>
                <w:noProof/>
                <w:webHidden/>
              </w:rPr>
              <w:fldChar w:fldCharType="begin"/>
            </w:r>
            <w:r>
              <w:rPr>
                <w:noProof/>
                <w:webHidden/>
              </w:rPr>
              <w:instrText xml:space="preserve"> PAGEREF _Toc238829269 \h </w:instrText>
            </w:r>
            <w:r>
              <w:rPr>
                <w:noProof/>
                <w:webHidden/>
              </w:rPr>
            </w:r>
            <w:r>
              <w:rPr>
                <w:noProof/>
                <w:webHidden/>
              </w:rPr>
              <w:fldChar w:fldCharType="separate"/>
            </w:r>
            <w:r w:rsidR="00CA5202">
              <w:rPr>
                <w:noProof/>
                <w:webHidden/>
              </w:rPr>
              <w:t>11</w:t>
            </w:r>
            <w:r>
              <w:rPr>
                <w:noProof/>
                <w:webHidden/>
              </w:rPr>
              <w:fldChar w:fldCharType="end"/>
            </w:r>
          </w:hyperlink>
        </w:p>
        <w:p w14:paraId="52002B11" w14:textId="090DAE5D"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70" w:history="1">
            <w:r w:rsidRPr="0085354C">
              <w:rPr>
                <w:rStyle w:val="Hyperlink"/>
                <w:noProof/>
              </w:rPr>
              <w:t>10.4 Faculty (Speakers, Moderators, Panelists, Authors)</w:t>
            </w:r>
            <w:r>
              <w:rPr>
                <w:noProof/>
                <w:webHidden/>
              </w:rPr>
              <w:tab/>
            </w:r>
            <w:r>
              <w:rPr>
                <w:noProof/>
                <w:webHidden/>
              </w:rPr>
              <w:fldChar w:fldCharType="begin"/>
            </w:r>
            <w:r>
              <w:rPr>
                <w:noProof/>
                <w:webHidden/>
              </w:rPr>
              <w:instrText xml:space="preserve"> PAGEREF _Toc238829270 \h </w:instrText>
            </w:r>
            <w:r>
              <w:rPr>
                <w:noProof/>
                <w:webHidden/>
              </w:rPr>
            </w:r>
            <w:r>
              <w:rPr>
                <w:noProof/>
                <w:webHidden/>
              </w:rPr>
              <w:fldChar w:fldCharType="separate"/>
            </w:r>
            <w:r w:rsidR="00CA5202">
              <w:rPr>
                <w:noProof/>
                <w:webHidden/>
              </w:rPr>
              <w:t>11</w:t>
            </w:r>
            <w:r>
              <w:rPr>
                <w:noProof/>
                <w:webHidden/>
              </w:rPr>
              <w:fldChar w:fldCharType="end"/>
            </w:r>
          </w:hyperlink>
        </w:p>
        <w:p w14:paraId="6B80FFC4" w14:textId="3EB9054D"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71" w:history="1">
            <w:r w:rsidRPr="0085354C">
              <w:rPr>
                <w:rStyle w:val="Hyperlink"/>
                <w:noProof/>
              </w:rPr>
              <w:t>11. CME Application and Approval Process</w:t>
            </w:r>
            <w:r>
              <w:rPr>
                <w:noProof/>
                <w:webHidden/>
              </w:rPr>
              <w:tab/>
            </w:r>
            <w:r>
              <w:rPr>
                <w:noProof/>
                <w:webHidden/>
              </w:rPr>
              <w:fldChar w:fldCharType="begin"/>
            </w:r>
            <w:r>
              <w:rPr>
                <w:noProof/>
                <w:webHidden/>
              </w:rPr>
              <w:instrText xml:space="preserve"> PAGEREF _Toc238829271 \h </w:instrText>
            </w:r>
            <w:r>
              <w:rPr>
                <w:noProof/>
                <w:webHidden/>
              </w:rPr>
            </w:r>
            <w:r>
              <w:rPr>
                <w:noProof/>
                <w:webHidden/>
              </w:rPr>
              <w:fldChar w:fldCharType="separate"/>
            </w:r>
            <w:r w:rsidR="00CA5202">
              <w:rPr>
                <w:noProof/>
                <w:webHidden/>
              </w:rPr>
              <w:t>11</w:t>
            </w:r>
            <w:r>
              <w:rPr>
                <w:noProof/>
                <w:webHidden/>
              </w:rPr>
              <w:fldChar w:fldCharType="end"/>
            </w:r>
          </w:hyperlink>
        </w:p>
        <w:p w14:paraId="4EE1052D" w14:textId="624CADE0"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72" w:history="1">
            <w:r w:rsidRPr="0085354C">
              <w:rPr>
                <w:rStyle w:val="Hyperlink"/>
                <w:noProof/>
              </w:rPr>
              <w:t>11.1 Applications will not be reviewed if:</w:t>
            </w:r>
            <w:r>
              <w:rPr>
                <w:noProof/>
                <w:webHidden/>
              </w:rPr>
              <w:tab/>
            </w:r>
            <w:r>
              <w:rPr>
                <w:noProof/>
                <w:webHidden/>
              </w:rPr>
              <w:fldChar w:fldCharType="begin"/>
            </w:r>
            <w:r>
              <w:rPr>
                <w:noProof/>
                <w:webHidden/>
              </w:rPr>
              <w:instrText xml:space="preserve"> PAGEREF _Toc238829272 \h </w:instrText>
            </w:r>
            <w:r>
              <w:rPr>
                <w:noProof/>
                <w:webHidden/>
              </w:rPr>
            </w:r>
            <w:r>
              <w:rPr>
                <w:noProof/>
                <w:webHidden/>
              </w:rPr>
              <w:fldChar w:fldCharType="separate"/>
            </w:r>
            <w:r w:rsidR="00CA5202">
              <w:rPr>
                <w:noProof/>
                <w:webHidden/>
              </w:rPr>
              <w:t>12</w:t>
            </w:r>
            <w:r>
              <w:rPr>
                <w:noProof/>
                <w:webHidden/>
              </w:rPr>
              <w:fldChar w:fldCharType="end"/>
            </w:r>
          </w:hyperlink>
        </w:p>
        <w:p w14:paraId="29907CAB" w14:textId="6A79795B"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73" w:history="1">
            <w:r w:rsidRPr="0085354C">
              <w:rPr>
                <w:rStyle w:val="Hyperlink"/>
                <w:noProof/>
              </w:rPr>
              <w:t>11.2 Application completion:</w:t>
            </w:r>
            <w:r>
              <w:rPr>
                <w:noProof/>
                <w:webHidden/>
              </w:rPr>
              <w:tab/>
            </w:r>
            <w:r>
              <w:rPr>
                <w:noProof/>
                <w:webHidden/>
              </w:rPr>
              <w:fldChar w:fldCharType="begin"/>
            </w:r>
            <w:r>
              <w:rPr>
                <w:noProof/>
                <w:webHidden/>
              </w:rPr>
              <w:instrText xml:space="preserve"> PAGEREF _Toc238829273 \h </w:instrText>
            </w:r>
            <w:r>
              <w:rPr>
                <w:noProof/>
                <w:webHidden/>
              </w:rPr>
            </w:r>
            <w:r>
              <w:rPr>
                <w:noProof/>
                <w:webHidden/>
              </w:rPr>
              <w:fldChar w:fldCharType="separate"/>
            </w:r>
            <w:r w:rsidR="00CA5202">
              <w:rPr>
                <w:noProof/>
                <w:webHidden/>
              </w:rPr>
              <w:t>12</w:t>
            </w:r>
            <w:r>
              <w:rPr>
                <w:noProof/>
                <w:webHidden/>
              </w:rPr>
              <w:fldChar w:fldCharType="end"/>
            </w:r>
          </w:hyperlink>
        </w:p>
        <w:p w14:paraId="270B867D" w14:textId="040E3964"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74" w:history="1">
            <w:r w:rsidRPr="0085354C">
              <w:rPr>
                <w:rStyle w:val="Hyperlink"/>
                <w:noProof/>
              </w:rPr>
              <w:t>12. Integrity and Independence: Financial Relationships, Mitigation, and Disclosure</w:t>
            </w:r>
            <w:r>
              <w:rPr>
                <w:noProof/>
                <w:webHidden/>
              </w:rPr>
              <w:tab/>
            </w:r>
            <w:r>
              <w:rPr>
                <w:noProof/>
                <w:webHidden/>
              </w:rPr>
              <w:fldChar w:fldCharType="begin"/>
            </w:r>
            <w:r>
              <w:rPr>
                <w:noProof/>
                <w:webHidden/>
              </w:rPr>
              <w:instrText xml:space="preserve"> PAGEREF _Toc238829274 \h </w:instrText>
            </w:r>
            <w:r>
              <w:rPr>
                <w:noProof/>
                <w:webHidden/>
              </w:rPr>
            </w:r>
            <w:r>
              <w:rPr>
                <w:noProof/>
                <w:webHidden/>
              </w:rPr>
              <w:fldChar w:fldCharType="separate"/>
            </w:r>
            <w:r w:rsidR="00CA5202">
              <w:rPr>
                <w:noProof/>
                <w:webHidden/>
              </w:rPr>
              <w:t>14</w:t>
            </w:r>
            <w:r>
              <w:rPr>
                <w:noProof/>
                <w:webHidden/>
              </w:rPr>
              <w:fldChar w:fldCharType="end"/>
            </w:r>
          </w:hyperlink>
        </w:p>
        <w:p w14:paraId="00331F23" w14:textId="0A1A6883"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75" w:history="1">
            <w:r w:rsidRPr="0085354C">
              <w:rPr>
                <w:rStyle w:val="Hyperlink"/>
                <w:noProof/>
              </w:rPr>
              <w:t>12.1 Key definitions</w:t>
            </w:r>
            <w:r>
              <w:rPr>
                <w:noProof/>
                <w:webHidden/>
              </w:rPr>
              <w:tab/>
            </w:r>
            <w:r>
              <w:rPr>
                <w:noProof/>
                <w:webHidden/>
              </w:rPr>
              <w:fldChar w:fldCharType="begin"/>
            </w:r>
            <w:r>
              <w:rPr>
                <w:noProof/>
                <w:webHidden/>
              </w:rPr>
              <w:instrText xml:space="preserve"> PAGEREF _Toc238829275 \h </w:instrText>
            </w:r>
            <w:r>
              <w:rPr>
                <w:noProof/>
                <w:webHidden/>
              </w:rPr>
            </w:r>
            <w:r>
              <w:rPr>
                <w:noProof/>
                <w:webHidden/>
              </w:rPr>
              <w:fldChar w:fldCharType="separate"/>
            </w:r>
            <w:r w:rsidR="00CA5202">
              <w:rPr>
                <w:noProof/>
                <w:webHidden/>
              </w:rPr>
              <w:t>14</w:t>
            </w:r>
            <w:r>
              <w:rPr>
                <w:noProof/>
                <w:webHidden/>
              </w:rPr>
              <w:fldChar w:fldCharType="end"/>
            </w:r>
          </w:hyperlink>
        </w:p>
        <w:p w14:paraId="443E3E42" w14:textId="14CE9763"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76" w:history="1">
            <w:r w:rsidRPr="0085354C">
              <w:rPr>
                <w:rStyle w:val="Hyperlink"/>
                <w:noProof/>
              </w:rPr>
              <w:t>12.2 Collection and review</w:t>
            </w:r>
            <w:r>
              <w:rPr>
                <w:noProof/>
                <w:webHidden/>
              </w:rPr>
              <w:tab/>
            </w:r>
            <w:r>
              <w:rPr>
                <w:noProof/>
                <w:webHidden/>
              </w:rPr>
              <w:fldChar w:fldCharType="begin"/>
            </w:r>
            <w:r>
              <w:rPr>
                <w:noProof/>
                <w:webHidden/>
              </w:rPr>
              <w:instrText xml:space="preserve"> PAGEREF _Toc238829276 \h </w:instrText>
            </w:r>
            <w:r>
              <w:rPr>
                <w:noProof/>
                <w:webHidden/>
              </w:rPr>
            </w:r>
            <w:r>
              <w:rPr>
                <w:noProof/>
                <w:webHidden/>
              </w:rPr>
              <w:fldChar w:fldCharType="separate"/>
            </w:r>
            <w:r w:rsidR="00CA5202">
              <w:rPr>
                <w:noProof/>
                <w:webHidden/>
              </w:rPr>
              <w:t>15</w:t>
            </w:r>
            <w:r>
              <w:rPr>
                <w:noProof/>
                <w:webHidden/>
              </w:rPr>
              <w:fldChar w:fldCharType="end"/>
            </w:r>
          </w:hyperlink>
        </w:p>
        <w:p w14:paraId="22E73AD4" w14:textId="484546CD"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77" w:history="1">
            <w:r w:rsidRPr="0085354C">
              <w:rPr>
                <w:rStyle w:val="Hyperlink"/>
                <w:noProof/>
              </w:rPr>
              <w:t>12.3 Mitigation mechanisms</w:t>
            </w:r>
            <w:r>
              <w:rPr>
                <w:noProof/>
                <w:webHidden/>
              </w:rPr>
              <w:tab/>
            </w:r>
            <w:r>
              <w:rPr>
                <w:noProof/>
                <w:webHidden/>
              </w:rPr>
              <w:fldChar w:fldCharType="begin"/>
            </w:r>
            <w:r>
              <w:rPr>
                <w:noProof/>
                <w:webHidden/>
              </w:rPr>
              <w:instrText xml:space="preserve"> PAGEREF _Toc238829277 \h </w:instrText>
            </w:r>
            <w:r>
              <w:rPr>
                <w:noProof/>
                <w:webHidden/>
              </w:rPr>
            </w:r>
            <w:r>
              <w:rPr>
                <w:noProof/>
                <w:webHidden/>
              </w:rPr>
              <w:fldChar w:fldCharType="separate"/>
            </w:r>
            <w:r w:rsidR="00CA5202">
              <w:rPr>
                <w:noProof/>
                <w:webHidden/>
              </w:rPr>
              <w:t>16</w:t>
            </w:r>
            <w:r>
              <w:rPr>
                <w:noProof/>
                <w:webHidden/>
              </w:rPr>
              <w:fldChar w:fldCharType="end"/>
            </w:r>
          </w:hyperlink>
        </w:p>
        <w:p w14:paraId="1BC89881" w14:textId="3632E1AE"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78" w:history="1">
            <w:r w:rsidRPr="0085354C">
              <w:rPr>
                <w:rStyle w:val="Hyperlink"/>
                <w:noProof/>
              </w:rPr>
              <w:t>12.4 Disclosure to learners</w:t>
            </w:r>
            <w:r>
              <w:rPr>
                <w:noProof/>
                <w:webHidden/>
              </w:rPr>
              <w:tab/>
            </w:r>
            <w:r>
              <w:rPr>
                <w:noProof/>
                <w:webHidden/>
              </w:rPr>
              <w:fldChar w:fldCharType="begin"/>
            </w:r>
            <w:r>
              <w:rPr>
                <w:noProof/>
                <w:webHidden/>
              </w:rPr>
              <w:instrText xml:space="preserve"> PAGEREF _Toc238829278 \h </w:instrText>
            </w:r>
            <w:r>
              <w:rPr>
                <w:noProof/>
                <w:webHidden/>
              </w:rPr>
            </w:r>
            <w:r>
              <w:rPr>
                <w:noProof/>
                <w:webHidden/>
              </w:rPr>
              <w:fldChar w:fldCharType="separate"/>
            </w:r>
            <w:r w:rsidR="00CA5202">
              <w:rPr>
                <w:noProof/>
                <w:webHidden/>
              </w:rPr>
              <w:t>16</w:t>
            </w:r>
            <w:r>
              <w:rPr>
                <w:noProof/>
                <w:webHidden/>
              </w:rPr>
              <w:fldChar w:fldCharType="end"/>
            </w:r>
          </w:hyperlink>
        </w:p>
        <w:p w14:paraId="798F5D42" w14:textId="2C26D70E"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79" w:history="1">
            <w:r w:rsidRPr="0085354C">
              <w:rPr>
                <w:rStyle w:val="Hyperlink"/>
                <w:noProof/>
              </w:rPr>
              <w:t>12.5 Last-minute speaker changes</w:t>
            </w:r>
            <w:r>
              <w:rPr>
                <w:noProof/>
                <w:webHidden/>
              </w:rPr>
              <w:tab/>
            </w:r>
            <w:r>
              <w:rPr>
                <w:noProof/>
                <w:webHidden/>
              </w:rPr>
              <w:fldChar w:fldCharType="begin"/>
            </w:r>
            <w:r>
              <w:rPr>
                <w:noProof/>
                <w:webHidden/>
              </w:rPr>
              <w:instrText xml:space="preserve"> PAGEREF _Toc238829279 \h </w:instrText>
            </w:r>
            <w:r>
              <w:rPr>
                <w:noProof/>
                <w:webHidden/>
              </w:rPr>
            </w:r>
            <w:r>
              <w:rPr>
                <w:noProof/>
                <w:webHidden/>
              </w:rPr>
              <w:fldChar w:fldCharType="separate"/>
            </w:r>
            <w:r w:rsidR="00CA5202">
              <w:rPr>
                <w:noProof/>
                <w:webHidden/>
              </w:rPr>
              <w:t>18</w:t>
            </w:r>
            <w:r>
              <w:rPr>
                <w:noProof/>
                <w:webHidden/>
              </w:rPr>
              <w:fldChar w:fldCharType="end"/>
            </w:r>
          </w:hyperlink>
        </w:p>
        <w:p w14:paraId="0BF9A95C" w14:textId="0827D417"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80" w:history="1">
            <w:r w:rsidRPr="0085354C">
              <w:rPr>
                <w:rStyle w:val="Hyperlink"/>
                <w:noProof/>
              </w:rPr>
              <w:t>12.6 Sanctions for Failure to Disclose</w:t>
            </w:r>
            <w:r>
              <w:rPr>
                <w:noProof/>
                <w:webHidden/>
              </w:rPr>
              <w:tab/>
            </w:r>
            <w:r>
              <w:rPr>
                <w:noProof/>
                <w:webHidden/>
              </w:rPr>
              <w:fldChar w:fldCharType="begin"/>
            </w:r>
            <w:r>
              <w:rPr>
                <w:noProof/>
                <w:webHidden/>
              </w:rPr>
              <w:instrText xml:space="preserve"> PAGEREF _Toc238829280 \h </w:instrText>
            </w:r>
            <w:r>
              <w:rPr>
                <w:noProof/>
                <w:webHidden/>
              </w:rPr>
            </w:r>
            <w:r>
              <w:rPr>
                <w:noProof/>
                <w:webHidden/>
              </w:rPr>
              <w:fldChar w:fldCharType="separate"/>
            </w:r>
            <w:r w:rsidR="00CA5202">
              <w:rPr>
                <w:noProof/>
                <w:webHidden/>
              </w:rPr>
              <w:t>18</w:t>
            </w:r>
            <w:r>
              <w:rPr>
                <w:noProof/>
                <w:webHidden/>
              </w:rPr>
              <w:fldChar w:fldCharType="end"/>
            </w:r>
          </w:hyperlink>
        </w:p>
        <w:p w14:paraId="03E2F5FB" w14:textId="6797FDF0"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81" w:history="1">
            <w:r w:rsidRPr="0085354C">
              <w:rPr>
                <w:rStyle w:val="Hyperlink"/>
                <w:noProof/>
              </w:rPr>
              <w:t>13. Owners and Employees of Ineligible Companies</w:t>
            </w:r>
            <w:r>
              <w:rPr>
                <w:noProof/>
                <w:webHidden/>
              </w:rPr>
              <w:tab/>
            </w:r>
            <w:r>
              <w:rPr>
                <w:noProof/>
                <w:webHidden/>
              </w:rPr>
              <w:fldChar w:fldCharType="begin"/>
            </w:r>
            <w:r>
              <w:rPr>
                <w:noProof/>
                <w:webHidden/>
              </w:rPr>
              <w:instrText xml:space="preserve"> PAGEREF _Toc238829281 \h </w:instrText>
            </w:r>
            <w:r>
              <w:rPr>
                <w:noProof/>
                <w:webHidden/>
              </w:rPr>
            </w:r>
            <w:r>
              <w:rPr>
                <w:noProof/>
                <w:webHidden/>
              </w:rPr>
              <w:fldChar w:fldCharType="separate"/>
            </w:r>
            <w:r w:rsidR="00CA5202">
              <w:rPr>
                <w:noProof/>
                <w:webHidden/>
              </w:rPr>
              <w:t>18</w:t>
            </w:r>
            <w:r>
              <w:rPr>
                <w:noProof/>
                <w:webHidden/>
              </w:rPr>
              <w:fldChar w:fldCharType="end"/>
            </w:r>
          </w:hyperlink>
        </w:p>
        <w:p w14:paraId="35036391" w14:textId="20BD4F53"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82" w:history="1">
            <w:r w:rsidRPr="0085354C">
              <w:rPr>
                <w:rStyle w:val="Hyperlink"/>
                <w:noProof/>
              </w:rPr>
              <w:t>14. Commercial Support (Educational Grants and In-kind Support)</w:t>
            </w:r>
            <w:r>
              <w:rPr>
                <w:noProof/>
                <w:webHidden/>
              </w:rPr>
              <w:tab/>
            </w:r>
            <w:r>
              <w:rPr>
                <w:noProof/>
                <w:webHidden/>
              </w:rPr>
              <w:fldChar w:fldCharType="begin"/>
            </w:r>
            <w:r>
              <w:rPr>
                <w:noProof/>
                <w:webHidden/>
              </w:rPr>
              <w:instrText xml:space="preserve"> PAGEREF _Toc238829282 \h </w:instrText>
            </w:r>
            <w:r>
              <w:rPr>
                <w:noProof/>
                <w:webHidden/>
              </w:rPr>
            </w:r>
            <w:r>
              <w:rPr>
                <w:noProof/>
                <w:webHidden/>
              </w:rPr>
              <w:fldChar w:fldCharType="separate"/>
            </w:r>
            <w:r w:rsidR="00CA5202">
              <w:rPr>
                <w:noProof/>
                <w:webHidden/>
              </w:rPr>
              <w:t>20</w:t>
            </w:r>
            <w:r>
              <w:rPr>
                <w:noProof/>
                <w:webHidden/>
              </w:rPr>
              <w:fldChar w:fldCharType="end"/>
            </w:r>
          </w:hyperlink>
        </w:p>
        <w:p w14:paraId="5E0F9328" w14:textId="66646F24"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83" w:history="1">
            <w:r w:rsidRPr="0085354C">
              <w:rPr>
                <w:rStyle w:val="Hyperlink"/>
                <w:noProof/>
              </w:rPr>
              <w:t>14.1 Key requirements</w:t>
            </w:r>
            <w:r>
              <w:rPr>
                <w:noProof/>
                <w:webHidden/>
              </w:rPr>
              <w:tab/>
            </w:r>
            <w:r>
              <w:rPr>
                <w:noProof/>
                <w:webHidden/>
              </w:rPr>
              <w:fldChar w:fldCharType="begin"/>
            </w:r>
            <w:r>
              <w:rPr>
                <w:noProof/>
                <w:webHidden/>
              </w:rPr>
              <w:instrText xml:space="preserve"> PAGEREF _Toc238829283 \h </w:instrText>
            </w:r>
            <w:r>
              <w:rPr>
                <w:noProof/>
                <w:webHidden/>
              </w:rPr>
            </w:r>
            <w:r>
              <w:rPr>
                <w:noProof/>
                <w:webHidden/>
              </w:rPr>
              <w:fldChar w:fldCharType="separate"/>
            </w:r>
            <w:r w:rsidR="00CA5202">
              <w:rPr>
                <w:noProof/>
                <w:webHidden/>
              </w:rPr>
              <w:t>22</w:t>
            </w:r>
            <w:r>
              <w:rPr>
                <w:noProof/>
                <w:webHidden/>
              </w:rPr>
              <w:fldChar w:fldCharType="end"/>
            </w:r>
          </w:hyperlink>
        </w:p>
        <w:p w14:paraId="168D4B70" w14:textId="28D80179"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84" w:history="1">
            <w:r w:rsidRPr="0085354C">
              <w:rPr>
                <w:rStyle w:val="Hyperlink"/>
                <w:noProof/>
              </w:rPr>
              <w:t>15. Exhibits, Marketing, and Non-CME Promotional Support</w:t>
            </w:r>
            <w:r>
              <w:rPr>
                <w:noProof/>
                <w:webHidden/>
              </w:rPr>
              <w:tab/>
            </w:r>
            <w:r>
              <w:rPr>
                <w:noProof/>
                <w:webHidden/>
              </w:rPr>
              <w:fldChar w:fldCharType="begin"/>
            </w:r>
            <w:r>
              <w:rPr>
                <w:noProof/>
                <w:webHidden/>
              </w:rPr>
              <w:instrText xml:space="preserve"> PAGEREF _Toc238829284 \h </w:instrText>
            </w:r>
            <w:r>
              <w:rPr>
                <w:noProof/>
                <w:webHidden/>
              </w:rPr>
            </w:r>
            <w:r>
              <w:rPr>
                <w:noProof/>
                <w:webHidden/>
              </w:rPr>
              <w:fldChar w:fldCharType="separate"/>
            </w:r>
            <w:r w:rsidR="00CA5202">
              <w:rPr>
                <w:noProof/>
                <w:webHidden/>
              </w:rPr>
              <w:t>22</w:t>
            </w:r>
            <w:r>
              <w:rPr>
                <w:noProof/>
                <w:webHidden/>
              </w:rPr>
              <w:fldChar w:fldCharType="end"/>
            </w:r>
          </w:hyperlink>
        </w:p>
        <w:p w14:paraId="4593BC5D" w14:textId="4CCF7C3F"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85" w:history="1">
            <w:r w:rsidRPr="0085354C">
              <w:rPr>
                <w:rStyle w:val="Hyperlink"/>
                <w:noProof/>
              </w:rPr>
              <w:t>15.1 Separation requirements</w:t>
            </w:r>
            <w:r>
              <w:rPr>
                <w:noProof/>
                <w:webHidden/>
              </w:rPr>
              <w:tab/>
            </w:r>
            <w:r>
              <w:rPr>
                <w:noProof/>
                <w:webHidden/>
              </w:rPr>
              <w:fldChar w:fldCharType="begin"/>
            </w:r>
            <w:r>
              <w:rPr>
                <w:noProof/>
                <w:webHidden/>
              </w:rPr>
              <w:instrText xml:space="preserve"> PAGEREF _Toc238829285 \h </w:instrText>
            </w:r>
            <w:r>
              <w:rPr>
                <w:noProof/>
                <w:webHidden/>
              </w:rPr>
            </w:r>
            <w:r>
              <w:rPr>
                <w:noProof/>
                <w:webHidden/>
              </w:rPr>
              <w:fldChar w:fldCharType="separate"/>
            </w:r>
            <w:r w:rsidR="00CA5202">
              <w:rPr>
                <w:noProof/>
                <w:webHidden/>
              </w:rPr>
              <w:t>23</w:t>
            </w:r>
            <w:r>
              <w:rPr>
                <w:noProof/>
                <w:webHidden/>
              </w:rPr>
              <w:fldChar w:fldCharType="end"/>
            </w:r>
          </w:hyperlink>
        </w:p>
        <w:p w14:paraId="4FAE09DC" w14:textId="3D0F14B8"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86" w:history="1">
            <w:r w:rsidRPr="0085354C">
              <w:rPr>
                <w:rStyle w:val="Hyperlink"/>
                <w:noProof/>
              </w:rPr>
              <w:t>16. Social Events and Meals</w:t>
            </w:r>
            <w:r>
              <w:rPr>
                <w:noProof/>
                <w:webHidden/>
              </w:rPr>
              <w:tab/>
            </w:r>
            <w:r>
              <w:rPr>
                <w:noProof/>
                <w:webHidden/>
              </w:rPr>
              <w:fldChar w:fldCharType="begin"/>
            </w:r>
            <w:r>
              <w:rPr>
                <w:noProof/>
                <w:webHidden/>
              </w:rPr>
              <w:instrText xml:space="preserve"> PAGEREF _Toc238829286 \h </w:instrText>
            </w:r>
            <w:r>
              <w:rPr>
                <w:noProof/>
                <w:webHidden/>
              </w:rPr>
            </w:r>
            <w:r>
              <w:rPr>
                <w:noProof/>
                <w:webHidden/>
              </w:rPr>
              <w:fldChar w:fldCharType="separate"/>
            </w:r>
            <w:r w:rsidR="00CA5202">
              <w:rPr>
                <w:noProof/>
                <w:webHidden/>
              </w:rPr>
              <w:t>24</w:t>
            </w:r>
            <w:r>
              <w:rPr>
                <w:noProof/>
                <w:webHidden/>
              </w:rPr>
              <w:fldChar w:fldCharType="end"/>
            </w:r>
          </w:hyperlink>
        </w:p>
        <w:p w14:paraId="62BD2119" w14:textId="455E51F8"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87" w:history="1">
            <w:r w:rsidRPr="0085354C">
              <w:rPr>
                <w:rStyle w:val="Hyperlink"/>
                <w:noProof/>
              </w:rPr>
              <w:t>17. Honoraria and Travel Reimbursement</w:t>
            </w:r>
            <w:r>
              <w:rPr>
                <w:noProof/>
                <w:webHidden/>
              </w:rPr>
              <w:tab/>
            </w:r>
            <w:r>
              <w:rPr>
                <w:noProof/>
                <w:webHidden/>
              </w:rPr>
              <w:fldChar w:fldCharType="begin"/>
            </w:r>
            <w:r>
              <w:rPr>
                <w:noProof/>
                <w:webHidden/>
              </w:rPr>
              <w:instrText xml:space="preserve"> PAGEREF _Toc238829287 \h </w:instrText>
            </w:r>
            <w:r>
              <w:rPr>
                <w:noProof/>
                <w:webHidden/>
              </w:rPr>
            </w:r>
            <w:r>
              <w:rPr>
                <w:noProof/>
                <w:webHidden/>
              </w:rPr>
              <w:fldChar w:fldCharType="separate"/>
            </w:r>
            <w:r w:rsidR="00CA5202">
              <w:rPr>
                <w:noProof/>
                <w:webHidden/>
              </w:rPr>
              <w:t>2</w:t>
            </w:r>
            <w:r w:rsidR="00CA5202">
              <w:rPr>
                <w:noProof/>
                <w:webHidden/>
              </w:rPr>
              <w:t>4</w:t>
            </w:r>
            <w:r>
              <w:rPr>
                <w:noProof/>
                <w:webHidden/>
              </w:rPr>
              <w:fldChar w:fldCharType="end"/>
            </w:r>
          </w:hyperlink>
        </w:p>
        <w:p w14:paraId="0CABB6AB" w14:textId="343C8A47"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88" w:history="1">
            <w:r w:rsidRPr="0085354C">
              <w:rPr>
                <w:rStyle w:val="Hyperlink"/>
                <w:noProof/>
              </w:rPr>
              <w:t>17.1 Honoraria</w:t>
            </w:r>
            <w:r>
              <w:rPr>
                <w:noProof/>
                <w:webHidden/>
              </w:rPr>
              <w:tab/>
            </w:r>
            <w:r>
              <w:rPr>
                <w:noProof/>
                <w:webHidden/>
              </w:rPr>
              <w:fldChar w:fldCharType="begin"/>
            </w:r>
            <w:r>
              <w:rPr>
                <w:noProof/>
                <w:webHidden/>
              </w:rPr>
              <w:instrText xml:space="preserve"> PAGEREF _Toc238829288 \h </w:instrText>
            </w:r>
            <w:r>
              <w:rPr>
                <w:noProof/>
                <w:webHidden/>
              </w:rPr>
            </w:r>
            <w:r>
              <w:rPr>
                <w:noProof/>
                <w:webHidden/>
              </w:rPr>
              <w:fldChar w:fldCharType="separate"/>
            </w:r>
            <w:r w:rsidR="00CA5202">
              <w:rPr>
                <w:noProof/>
                <w:webHidden/>
              </w:rPr>
              <w:t>24</w:t>
            </w:r>
            <w:r>
              <w:rPr>
                <w:noProof/>
                <w:webHidden/>
              </w:rPr>
              <w:fldChar w:fldCharType="end"/>
            </w:r>
          </w:hyperlink>
        </w:p>
        <w:p w14:paraId="328B77E4" w14:textId="65309651" w:rsidR="00153E12" w:rsidRDefault="00153E12">
          <w:pPr>
            <w:pStyle w:val="TOC2"/>
            <w:tabs>
              <w:tab w:val="right" w:leader="dot" w:pos="9350"/>
            </w:tabs>
            <w:rPr>
              <w:rFonts w:asciiTheme="minorHAnsi" w:hAnsiTheme="minorHAnsi"/>
              <w:noProof/>
              <w:kern w:val="2"/>
              <w:sz w:val="24"/>
              <w:szCs w:val="24"/>
              <w14:ligatures w14:val="standardContextual"/>
            </w:rPr>
          </w:pPr>
          <w:hyperlink w:anchor="_Toc238829289" w:history="1">
            <w:r w:rsidRPr="0085354C">
              <w:rPr>
                <w:rStyle w:val="Hyperlink"/>
                <w:noProof/>
              </w:rPr>
              <w:t>17.2 Travel and accommodations</w:t>
            </w:r>
            <w:r>
              <w:rPr>
                <w:noProof/>
                <w:webHidden/>
              </w:rPr>
              <w:tab/>
            </w:r>
            <w:r>
              <w:rPr>
                <w:noProof/>
                <w:webHidden/>
              </w:rPr>
              <w:fldChar w:fldCharType="begin"/>
            </w:r>
            <w:r>
              <w:rPr>
                <w:noProof/>
                <w:webHidden/>
              </w:rPr>
              <w:instrText xml:space="preserve"> PAGEREF _Toc238829289 \h </w:instrText>
            </w:r>
            <w:r>
              <w:rPr>
                <w:noProof/>
                <w:webHidden/>
              </w:rPr>
            </w:r>
            <w:r>
              <w:rPr>
                <w:noProof/>
                <w:webHidden/>
              </w:rPr>
              <w:fldChar w:fldCharType="separate"/>
            </w:r>
            <w:r w:rsidR="00CA5202">
              <w:rPr>
                <w:noProof/>
                <w:webHidden/>
              </w:rPr>
              <w:t>24</w:t>
            </w:r>
            <w:r>
              <w:rPr>
                <w:noProof/>
                <w:webHidden/>
              </w:rPr>
              <w:fldChar w:fldCharType="end"/>
            </w:r>
          </w:hyperlink>
        </w:p>
        <w:p w14:paraId="2B834164" w14:textId="021AC802"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90" w:history="1">
            <w:r w:rsidRPr="0085354C">
              <w:rPr>
                <w:rStyle w:val="Hyperlink"/>
                <w:noProof/>
              </w:rPr>
              <w:t>18. Financial Responsibilities and Records</w:t>
            </w:r>
            <w:r>
              <w:rPr>
                <w:noProof/>
                <w:webHidden/>
              </w:rPr>
              <w:tab/>
            </w:r>
            <w:r>
              <w:rPr>
                <w:noProof/>
                <w:webHidden/>
              </w:rPr>
              <w:fldChar w:fldCharType="begin"/>
            </w:r>
            <w:r>
              <w:rPr>
                <w:noProof/>
                <w:webHidden/>
              </w:rPr>
              <w:instrText xml:space="preserve"> PAGEREF _Toc238829290 \h </w:instrText>
            </w:r>
            <w:r>
              <w:rPr>
                <w:noProof/>
                <w:webHidden/>
              </w:rPr>
            </w:r>
            <w:r>
              <w:rPr>
                <w:noProof/>
                <w:webHidden/>
              </w:rPr>
              <w:fldChar w:fldCharType="separate"/>
            </w:r>
            <w:r w:rsidR="00CA5202">
              <w:rPr>
                <w:noProof/>
                <w:webHidden/>
              </w:rPr>
              <w:t>24</w:t>
            </w:r>
            <w:r>
              <w:rPr>
                <w:noProof/>
                <w:webHidden/>
              </w:rPr>
              <w:fldChar w:fldCharType="end"/>
            </w:r>
          </w:hyperlink>
        </w:p>
        <w:p w14:paraId="657071D1" w14:textId="21C59DBF"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91" w:history="1">
            <w:r w:rsidRPr="0085354C">
              <w:rPr>
                <w:rStyle w:val="Hyperlink"/>
                <w:noProof/>
              </w:rPr>
              <w:t>19. Course Evaluation and Close-out</w:t>
            </w:r>
            <w:r>
              <w:rPr>
                <w:noProof/>
                <w:webHidden/>
              </w:rPr>
              <w:tab/>
            </w:r>
            <w:r>
              <w:rPr>
                <w:noProof/>
                <w:webHidden/>
              </w:rPr>
              <w:fldChar w:fldCharType="begin"/>
            </w:r>
            <w:r>
              <w:rPr>
                <w:noProof/>
                <w:webHidden/>
              </w:rPr>
              <w:instrText xml:space="preserve"> PAGEREF _Toc238829291 \h </w:instrText>
            </w:r>
            <w:r>
              <w:rPr>
                <w:noProof/>
                <w:webHidden/>
              </w:rPr>
            </w:r>
            <w:r>
              <w:rPr>
                <w:noProof/>
                <w:webHidden/>
              </w:rPr>
              <w:fldChar w:fldCharType="separate"/>
            </w:r>
            <w:r w:rsidR="00CA5202">
              <w:rPr>
                <w:noProof/>
                <w:webHidden/>
              </w:rPr>
              <w:t>25</w:t>
            </w:r>
            <w:r>
              <w:rPr>
                <w:noProof/>
                <w:webHidden/>
              </w:rPr>
              <w:fldChar w:fldCharType="end"/>
            </w:r>
          </w:hyperlink>
        </w:p>
        <w:p w14:paraId="25CB4C9F" w14:textId="7EA7B63B"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92" w:history="1">
            <w:r w:rsidRPr="0085354C">
              <w:rPr>
                <w:rStyle w:val="Hyperlink"/>
                <w:noProof/>
              </w:rPr>
              <w:t>Appendix A. Glossary</w:t>
            </w:r>
            <w:r>
              <w:rPr>
                <w:noProof/>
                <w:webHidden/>
              </w:rPr>
              <w:tab/>
            </w:r>
            <w:r>
              <w:rPr>
                <w:noProof/>
                <w:webHidden/>
              </w:rPr>
              <w:fldChar w:fldCharType="begin"/>
            </w:r>
            <w:r>
              <w:rPr>
                <w:noProof/>
                <w:webHidden/>
              </w:rPr>
              <w:instrText xml:space="preserve"> PAGEREF _Toc238829292 \h </w:instrText>
            </w:r>
            <w:r>
              <w:rPr>
                <w:noProof/>
                <w:webHidden/>
              </w:rPr>
            </w:r>
            <w:r>
              <w:rPr>
                <w:noProof/>
                <w:webHidden/>
              </w:rPr>
              <w:fldChar w:fldCharType="separate"/>
            </w:r>
            <w:r w:rsidR="00CA5202">
              <w:rPr>
                <w:noProof/>
                <w:webHidden/>
              </w:rPr>
              <w:t>26</w:t>
            </w:r>
            <w:r>
              <w:rPr>
                <w:noProof/>
                <w:webHidden/>
              </w:rPr>
              <w:fldChar w:fldCharType="end"/>
            </w:r>
          </w:hyperlink>
        </w:p>
        <w:p w14:paraId="0347469C" w14:textId="4BBD827A" w:rsidR="00153E12" w:rsidRDefault="00153E12">
          <w:pPr>
            <w:pStyle w:val="TOC1"/>
            <w:tabs>
              <w:tab w:val="right" w:leader="dot" w:pos="9350"/>
            </w:tabs>
            <w:rPr>
              <w:rFonts w:asciiTheme="minorHAnsi" w:hAnsiTheme="minorHAnsi"/>
              <w:noProof/>
              <w:kern w:val="2"/>
              <w:sz w:val="24"/>
              <w:szCs w:val="24"/>
              <w14:ligatures w14:val="standardContextual"/>
            </w:rPr>
          </w:pPr>
          <w:hyperlink w:anchor="_Toc238829293" w:history="1">
            <w:r w:rsidRPr="0085354C">
              <w:rPr>
                <w:rStyle w:val="Hyperlink"/>
                <w:noProof/>
              </w:rPr>
              <w:t>Appendix B. Key Links and Templates</w:t>
            </w:r>
            <w:r>
              <w:rPr>
                <w:noProof/>
                <w:webHidden/>
              </w:rPr>
              <w:tab/>
            </w:r>
            <w:r>
              <w:rPr>
                <w:noProof/>
                <w:webHidden/>
              </w:rPr>
              <w:fldChar w:fldCharType="begin"/>
            </w:r>
            <w:r>
              <w:rPr>
                <w:noProof/>
                <w:webHidden/>
              </w:rPr>
              <w:instrText xml:space="preserve"> PAGEREF _Toc238829293 \h </w:instrText>
            </w:r>
            <w:r>
              <w:rPr>
                <w:noProof/>
                <w:webHidden/>
              </w:rPr>
            </w:r>
            <w:r>
              <w:rPr>
                <w:noProof/>
                <w:webHidden/>
              </w:rPr>
              <w:fldChar w:fldCharType="separate"/>
            </w:r>
            <w:r w:rsidR="00CA5202">
              <w:rPr>
                <w:noProof/>
                <w:webHidden/>
              </w:rPr>
              <w:t>27</w:t>
            </w:r>
            <w:r>
              <w:rPr>
                <w:noProof/>
                <w:webHidden/>
              </w:rPr>
              <w:fldChar w:fldCharType="end"/>
            </w:r>
          </w:hyperlink>
        </w:p>
        <w:p w14:paraId="7CF6BDA0" w14:textId="0EEDFAD6" w:rsidR="00153E12" w:rsidRDefault="00153E12">
          <w:r>
            <w:rPr>
              <w:b/>
              <w:bCs/>
              <w:noProof/>
            </w:rPr>
            <w:fldChar w:fldCharType="end"/>
          </w:r>
        </w:p>
      </w:sdtContent>
    </w:sdt>
    <w:p w14:paraId="7FEE410B" w14:textId="63F5F031" w:rsidR="1B62D7D4" w:rsidRDefault="1B62D7D4" w:rsidP="1B62D7D4"/>
    <w:p w14:paraId="4BD60595" w14:textId="78EF8D66" w:rsidR="1B62D7D4" w:rsidRDefault="1B62D7D4" w:rsidP="1B62D7D4"/>
    <w:p w14:paraId="1EF024DC" w14:textId="77777777" w:rsidR="00EA6484" w:rsidRDefault="003C2FB9">
      <w:r>
        <w:br w:type="page"/>
      </w:r>
    </w:p>
    <w:p w14:paraId="7DC2C756" w14:textId="77777777" w:rsidR="00EA6484" w:rsidRDefault="2081AFD7" w:rsidP="1B62D7D4">
      <w:pPr>
        <w:pStyle w:val="Heading1"/>
        <w:spacing w:after="240"/>
      </w:pPr>
      <w:bookmarkStart w:id="12" w:name="_Toc196909851"/>
      <w:bookmarkStart w:id="13" w:name="_Toc1775178211"/>
      <w:bookmarkStart w:id="14" w:name="_Toc238829244"/>
      <w:r>
        <w:lastRenderedPageBreak/>
        <w:t>1. Purpose and Scope</w:t>
      </w:r>
      <w:bookmarkEnd w:id="12"/>
      <w:bookmarkEnd w:id="13"/>
      <w:bookmarkEnd w:id="14"/>
    </w:p>
    <w:p w14:paraId="34663005" w14:textId="77777777" w:rsidR="00EA6484" w:rsidRDefault="1653D51A" w:rsidP="1B62D7D4">
      <w:pPr>
        <w:spacing w:after="240"/>
      </w:pPr>
      <w:r>
        <w:t>These guidelines describe the requirements and processes for planning, implementing, and evaluating CME activities accredited through the Feinberg School of Medicine (FSM) Office of Continuing Medical Education (Office of CME). They are intended for course directors, planning committee members, coordinators, and faculty involved in accredited education.</w:t>
      </w:r>
    </w:p>
    <w:p w14:paraId="4F4CFA5F" w14:textId="77777777" w:rsidR="00EA6484" w:rsidRDefault="2081AFD7" w:rsidP="1B62D7D4">
      <w:pPr>
        <w:pStyle w:val="Heading1"/>
        <w:spacing w:after="240"/>
      </w:pPr>
      <w:bookmarkStart w:id="15" w:name="_Toc52727560"/>
      <w:bookmarkStart w:id="16" w:name="_Toc68210751"/>
      <w:bookmarkStart w:id="17" w:name="_Toc238829245"/>
      <w:r>
        <w:t>2. What Is Accredited Continuing Medical Education (CME)?</w:t>
      </w:r>
      <w:bookmarkEnd w:id="15"/>
      <w:bookmarkEnd w:id="16"/>
      <w:bookmarkEnd w:id="17"/>
    </w:p>
    <w:p w14:paraId="572DDE16" w14:textId="77777777" w:rsidR="00EA6484" w:rsidRDefault="1653D51A" w:rsidP="1B62D7D4">
      <w:pPr>
        <w:spacing w:after="240"/>
      </w:pPr>
      <w:r>
        <w:t xml:space="preserve">Many educational activities support professional development; however, not all activities are </w:t>
      </w:r>
      <w:bookmarkStart w:id="18" w:name="_Int_FdqUV5St"/>
      <w:r>
        <w:t>accredited</w:t>
      </w:r>
      <w:bookmarkEnd w:id="18"/>
      <w:r>
        <w:t xml:space="preserve"> CME. Accredited CME must be fair, balanced, evidence-based, and free of commercial bias. Clinical content must support safe, effective patient care.</w:t>
      </w:r>
    </w:p>
    <w:p w14:paraId="6382AD3B" w14:textId="78336732" w:rsidR="00F30C91" w:rsidRDefault="4CA9BF5B" w:rsidP="1B62D7D4">
      <w:pPr>
        <w:spacing w:after="240"/>
      </w:pPr>
      <w:r>
        <w:t>Accredited CME plays an invaluable role helping physicians, other healthcare professionals, and organizations improve patient care. Physicians require </w:t>
      </w:r>
      <w:r w:rsidRPr="1B62D7D4">
        <w:rPr>
          <w:i/>
          <w:iCs/>
        </w:rPr>
        <w:t>AMA PRA Category 1 Credits™</w:t>
      </w:r>
      <w:r>
        <w:t> for state license renewal, and often for maintaining board certification and hospital privileges and credentialing.  </w:t>
      </w:r>
    </w:p>
    <w:p w14:paraId="213605AC" w14:textId="4C5312DE" w:rsidR="00F30C91" w:rsidRDefault="4CA9BF5B" w:rsidP="1B62D7D4">
      <w:pPr>
        <w:spacing w:after="240"/>
      </w:pPr>
      <w:r>
        <w:t>CME credit can be earned from education that meets the American Medical Association (AMA) and Accreditation Council for Continuing Medical Education (ACCME) definition to “maintain, develop, or increase the knowledge, skills, and professional performance and relationships that a physician uses to provide services for patients, the public, or the profession.” </w:t>
      </w:r>
    </w:p>
    <w:p w14:paraId="15ADC816" w14:textId="77777777" w:rsidR="00EA6484" w:rsidRDefault="2081AFD7" w:rsidP="1B62D7D4">
      <w:pPr>
        <w:pStyle w:val="Heading1"/>
        <w:spacing w:after="240"/>
      </w:pPr>
      <w:bookmarkStart w:id="19" w:name="_Toc1861059109"/>
      <w:bookmarkStart w:id="20" w:name="_Toc760686355"/>
      <w:bookmarkStart w:id="21" w:name="_Toc238829246"/>
      <w:r>
        <w:t>3. The ACCME and the FSM Office of CME</w:t>
      </w:r>
      <w:bookmarkEnd w:id="19"/>
      <w:bookmarkEnd w:id="20"/>
      <w:bookmarkEnd w:id="21"/>
    </w:p>
    <w:p w14:paraId="46E1C284" w14:textId="504ECCB4" w:rsidR="00EA6484" w:rsidRDefault="4CA9BF5B" w:rsidP="1B62D7D4">
      <w:pPr>
        <w:spacing w:after="240"/>
      </w:pPr>
      <w:r>
        <w:t>The</w:t>
      </w:r>
      <w:r w:rsidR="1653D51A">
        <w:t xml:space="preserve"> ACCME </w:t>
      </w:r>
      <w:bookmarkStart w:id="22" w:name="_Int_frQITJUG"/>
      <w:r w:rsidR="1653D51A">
        <w:t>accredits</w:t>
      </w:r>
      <w:bookmarkEnd w:id="22"/>
      <w:r w:rsidR="1653D51A">
        <w:t xml:space="preserve"> Northwestern University Feinberg School of Medicine’s Office of CME to provide accredited continuing education. ACCME Standards for Integrity and Independence are designed to create a clear separation between accredited education and marketing, and to ensure education is based on valid content and supports patient and public needs.</w:t>
      </w:r>
    </w:p>
    <w:p w14:paraId="5DF02994" w14:textId="62089B73" w:rsidR="00EA6484" w:rsidRDefault="1653D51A" w:rsidP="1B62D7D4">
      <w:pPr>
        <w:spacing w:after="240"/>
      </w:pPr>
      <w:r>
        <w:t>ACCME Standards (reference):</w:t>
      </w:r>
      <w:r w:rsidR="668EAAB9">
        <w:t xml:space="preserve"> </w:t>
      </w:r>
      <w:hyperlink r:id="rId12">
        <w:r w:rsidRPr="1B62D7D4">
          <w:rPr>
            <w:color w:val="0563C1"/>
            <w:u w:val="single"/>
          </w:rPr>
          <w:t>ACCME Standards for Integrity and Independence</w:t>
        </w:r>
      </w:hyperlink>
    </w:p>
    <w:p w14:paraId="6177F49F" w14:textId="77777777" w:rsidR="00EA6484" w:rsidRDefault="2081AFD7" w:rsidP="1B62D7D4">
      <w:pPr>
        <w:pStyle w:val="Heading1"/>
        <w:spacing w:after="240"/>
      </w:pPr>
      <w:bookmarkStart w:id="23" w:name="_Toc33863192"/>
      <w:bookmarkStart w:id="24" w:name="_Toc1321693490"/>
      <w:bookmarkStart w:id="25" w:name="_Toc238829247"/>
      <w:r>
        <w:t>4. Credit Types Offered</w:t>
      </w:r>
      <w:bookmarkEnd w:id="23"/>
      <w:bookmarkEnd w:id="24"/>
      <w:bookmarkEnd w:id="25"/>
    </w:p>
    <w:p w14:paraId="51F05A24" w14:textId="77777777" w:rsidR="00EA6484" w:rsidRDefault="2081AFD7" w:rsidP="1B62D7D4">
      <w:pPr>
        <w:pStyle w:val="Heading2"/>
        <w:spacing w:after="240"/>
        <w:rPr>
          <w:i/>
          <w:iCs/>
        </w:rPr>
      </w:pPr>
      <w:bookmarkStart w:id="26" w:name="_Toc631530475"/>
      <w:bookmarkStart w:id="27" w:name="_Toc1636377408"/>
      <w:bookmarkStart w:id="28" w:name="_Toc238829248"/>
      <w:r>
        <w:t xml:space="preserve">4.1 </w:t>
      </w:r>
      <w:r w:rsidRPr="1B62D7D4">
        <w:rPr>
          <w:i/>
          <w:iCs/>
        </w:rPr>
        <w:t>AMA PRA Category 1 Credit™</w:t>
      </w:r>
      <w:bookmarkEnd w:id="26"/>
      <w:bookmarkEnd w:id="27"/>
      <w:bookmarkEnd w:id="28"/>
    </w:p>
    <w:p w14:paraId="0CBF03E1" w14:textId="77777777" w:rsidR="00EA6484" w:rsidRDefault="1653D51A" w:rsidP="1B62D7D4">
      <w:pPr>
        <w:spacing w:after="240"/>
      </w:pPr>
      <w:r>
        <w:t>Awarded to individuals who have completed an allopathic (MD), osteopathic (DO), or equivalent international medical degree (e.g., MBBS, MBChB).</w:t>
      </w:r>
    </w:p>
    <w:p w14:paraId="17047854" w14:textId="77777777" w:rsidR="00EA6484" w:rsidRDefault="2081AFD7" w:rsidP="1B62D7D4">
      <w:pPr>
        <w:pStyle w:val="Heading2"/>
        <w:spacing w:after="240"/>
      </w:pPr>
      <w:bookmarkStart w:id="29" w:name="_Toc347991405"/>
      <w:bookmarkStart w:id="30" w:name="_Toc817115022"/>
      <w:bookmarkStart w:id="31" w:name="_Toc238829249"/>
      <w:r>
        <w:lastRenderedPageBreak/>
        <w:t>4.2 Non-Physician Attendance Credit</w:t>
      </w:r>
      <w:bookmarkEnd w:id="29"/>
      <w:bookmarkEnd w:id="30"/>
      <w:bookmarkEnd w:id="31"/>
    </w:p>
    <w:p w14:paraId="2188DABA" w14:textId="136747BE" w:rsidR="00EA6484" w:rsidRDefault="1653D51A" w:rsidP="1B62D7D4">
      <w:pPr>
        <w:spacing w:after="240"/>
      </w:pPr>
      <w:r>
        <w:t xml:space="preserve">Awarded to learners who participate in accredited CME but are not eligible for </w:t>
      </w:r>
      <w:r w:rsidRPr="1B62D7D4">
        <w:rPr>
          <w:i/>
          <w:iCs/>
        </w:rPr>
        <w:t>AMA PRA Category 1 Credit™</w:t>
      </w:r>
      <w:r>
        <w:t xml:space="preserve"> (e.g., nurses, allied health professionals, students, </w:t>
      </w:r>
      <w:r w:rsidR="1BD23B94">
        <w:t>etc.</w:t>
      </w:r>
      <w:r>
        <w:t>).</w:t>
      </w:r>
    </w:p>
    <w:p w14:paraId="1A3BCB7E" w14:textId="77777777" w:rsidR="00EA6484" w:rsidRDefault="2081AFD7" w:rsidP="1B62D7D4">
      <w:pPr>
        <w:pStyle w:val="Heading2"/>
        <w:spacing w:after="240"/>
      </w:pPr>
      <w:bookmarkStart w:id="32" w:name="_Toc2134615183"/>
      <w:bookmarkStart w:id="33" w:name="_Toc1381989350"/>
      <w:bookmarkStart w:id="34" w:name="_Toc238829250"/>
      <w:r>
        <w:t>4.3 Maintenance of Certification (MOC) / Continuing Certification (CC)</w:t>
      </w:r>
      <w:bookmarkEnd w:id="32"/>
      <w:bookmarkEnd w:id="33"/>
      <w:bookmarkEnd w:id="34"/>
    </w:p>
    <w:p w14:paraId="02FA63EA" w14:textId="77777777" w:rsidR="00EA6484" w:rsidRDefault="1653D51A" w:rsidP="1B62D7D4">
      <w:pPr>
        <w:spacing w:after="240"/>
      </w:pPr>
      <w:r>
        <w:t xml:space="preserve">When offered, MOC/CC points are reported by the Office of CME to </w:t>
      </w:r>
      <w:bookmarkStart w:id="35" w:name="_Int_jzuUvWO0"/>
      <w:r>
        <w:t>participating</w:t>
      </w:r>
      <w:bookmarkEnd w:id="35"/>
      <w:r>
        <w:t xml:space="preserve"> specialty boards. Learners must provide a Diplomate ID, date of birth, and consent during registration/profile completion for reporting.</w:t>
      </w:r>
    </w:p>
    <w:p w14:paraId="5AD7B1E4" w14:textId="5961E172" w:rsidR="00EA6484" w:rsidRDefault="2081AFD7" w:rsidP="1B62D7D4">
      <w:pPr>
        <w:pStyle w:val="Heading1"/>
        <w:spacing w:after="240"/>
      </w:pPr>
      <w:bookmarkStart w:id="36" w:name="_Toc1573829596"/>
      <w:bookmarkStart w:id="37" w:name="_Toc157668086"/>
      <w:bookmarkStart w:id="38" w:name="_Toc238829251"/>
      <w:r>
        <w:t xml:space="preserve">5. CME </w:t>
      </w:r>
      <w:proofErr w:type="spellStart"/>
      <w:r>
        <w:t>Providership</w:t>
      </w:r>
      <w:proofErr w:type="spellEnd"/>
      <w:r>
        <w:t xml:space="preserve"> Models</w:t>
      </w:r>
      <w:r w:rsidR="1F9A20F2">
        <w:t xml:space="preserve"> and Activity Types</w:t>
      </w:r>
      <w:bookmarkEnd w:id="36"/>
      <w:bookmarkEnd w:id="37"/>
      <w:bookmarkEnd w:id="38"/>
    </w:p>
    <w:p w14:paraId="1FD06647" w14:textId="4DBDFAE7" w:rsidR="00EA6484" w:rsidRDefault="2081AFD7" w:rsidP="1B62D7D4">
      <w:pPr>
        <w:pStyle w:val="Heading2"/>
        <w:spacing w:after="240"/>
      </w:pPr>
      <w:bookmarkStart w:id="39" w:name="_Toc1783794277"/>
      <w:bookmarkStart w:id="40" w:name="_Toc1872731464"/>
      <w:bookmarkStart w:id="41" w:name="_Toc238829252"/>
      <w:r>
        <w:t xml:space="preserve">5.1 </w:t>
      </w:r>
      <w:proofErr w:type="spellStart"/>
      <w:r>
        <w:t>Providership</w:t>
      </w:r>
      <w:proofErr w:type="spellEnd"/>
      <w:r>
        <w:t xml:space="preserve"> </w:t>
      </w:r>
      <w:r w:rsidR="2AA21C5E">
        <w:t>M</w:t>
      </w:r>
      <w:r>
        <w:t>odels</w:t>
      </w:r>
      <w:bookmarkEnd w:id="39"/>
      <w:bookmarkEnd w:id="40"/>
      <w:bookmarkEnd w:id="41"/>
    </w:p>
    <w:p w14:paraId="18F0723C" w14:textId="77777777" w:rsidR="00EA6484" w:rsidRDefault="1653D51A" w:rsidP="1B62D7D4">
      <w:pPr>
        <w:pStyle w:val="ListBullet"/>
        <w:spacing w:after="240"/>
      </w:pPr>
      <w:r>
        <w:t>Directly Provided: Planned, implemented, and evaluated by Northwestern FSM and affiliated institutions.</w:t>
      </w:r>
    </w:p>
    <w:p w14:paraId="5B5B235D" w14:textId="32C9699C" w:rsidR="00EA6484" w:rsidRDefault="1653D51A" w:rsidP="1B62D7D4">
      <w:pPr>
        <w:pStyle w:val="ListBullet"/>
        <w:spacing w:after="240"/>
      </w:pPr>
      <w:r>
        <w:t>Jointly Provided: Planned, implemented, and evaluated by Northwestern FSM and a non-accredited organization. An FSM faculty member or affiliate clinician must serve as course director or planning committee member.</w:t>
      </w:r>
      <w:r w:rsidR="1BD23B94">
        <w:t xml:space="preserve"> More information on Joint </w:t>
      </w:r>
      <w:proofErr w:type="spellStart"/>
      <w:r w:rsidR="1BD23B94">
        <w:t>Providership</w:t>
      </w:r>
      <w:proofErr w:type="spellEnd"/>
      <w:r w:rsidR="1BD23B94">
        <w:t xml:space="preserve"> is available </w:t>
      </w:r>
      <w:hyperlink r:id="rId13">
        <w:r w:rsidR="1BD23B94" w:rsidRPr="1B62D7D4">
          <w:rPr>
            <w:rStyle w:val="Hyperlink"/>
          </w:rPr>
          <w:t>here</w:t>
        </w:r>
      </w:hyperlink>
      <w:r w:rsidR="1BD23B94">
        <w:t xml:space="preserve">. </w:t>
      </w:r>
    </w:p>
    <w:p w14:paraId="52689022" w14:textId="77777777" w:rsidR="00EA6484" w:rsidRDefault="1653D51A" w:rsidP="1B62D7D4">
      <w:pPr>
        <w:pStyle w:val="ListBullet"/>
        <w:spacing w:after="240"/>
      </w:pPr>
      <w:r>
        <w:t>Co-Provided: Planned with another accredited provider; one provider retains primary responsibility for compliance and reporting.</w:t>
      </w:r>
    </w:p>
    <w:p w14:paraId="106E5108" w14:textId="193E5C73" w:rsidR="00EA6484" w:rsidRDefault="2081AFD7" w:rsidP="1B62D7D4">
      <w:pPr>
        <w:pStyle w:val="Heading2"/>
        <w:spacing w:after="240"/>
      </w:pPr>
      <w:bookmarkStart w:id="42" w:name="_Toc1350785233"/>
      <w:bookmarkStart w:id="43" w:name="_Toc778998286"/>
      <w:bookmarkStart w:id="44" w:name="_Toc238829253"/>
      <w:r>
        <w:t xml:space="preserve">5.2 Activity </w:t>
      </w:r>
      <w:r w:rsidR="1B9E6710">
        <w:t>Types</w:t>
      </w:r>
      <w:bookmarkEnd w:id="42"/>
      <w:bookmarkEnd w:id="43"/>
      <w:bookmarkEnd w:id="44"/>
    </w:p>
    <w:p w14:paraId="732749DD" w14:textId="77777777" w:rsidR="00EA6484" w:rsidRDefault="1653D51A" w:rsidP="1B62D7D4">
      <w:pPr>
        <w:pStyle w:val="ListBullet"/>
        <w:spacing w:after="240"/>
      </w:pPr>
      <w:r>
        <w:t>Regularly Scheduled Series (RSS): ongoing sessions (weekly/monthly/quarterly) primarily planned by and presented to internal professional staff (e.g., Grand Rounds, Tumor Board, Journal Club, M&amp;M).</w:t>
      </w:r>
    </w:p>
    <w:p w14:paraId="454998B3" w14:textId="77777777" w:rsidR="00EA6484" w:rsidRDefault="1653D51A" w:rsidP="1B62D7D4">
      <w:pPr>
        <w:pStyle w:val="ListBullet"/>
        <w:spacing w:after="240"/>
      </w:pPr>
      <w:r>
        <w:t>Live Course: learners participate in real time; in-person, virtual, or hybrid.</w:t>
      </w:r>
    </w:p>
    <w:p w14:paraId="3373D6C8" w14:textId="1C4AAC05" w:rsidR="00EA6484" w:rsidRDefault="1653D51A" w:rsidP="1B62D7D4">
      <w:pPr>
        <w:pStyle w:val="ListBullet"/>
        <w:spacing w:after="240"/>
      </w:pPr>
      <w:r>
        <w:t>Series: repeated activities on the same topic with varying audiences or repeated offerings to the same audience over time (distinct from RSS</w:t>
      </w:r>
      <w:r w:rsidR="1BD23B94">
        <w:t xml:space="preserve"> since the audience can be external to the organization</w:t>
      </w:r>
      <w:r>
        <w:t>).</w:t>
      </w:r>
    </w:p>
    <w:p w14:paraId="7E0382A1" w14:textId="45B41087" w:rsidR="00EA6484" w:rsidRDefault="1653D51A" w:rsidP="1B62D7D4">
      <w:pPr>
        <w:pStyle w:val="ListBullet"/>
        <w:spacing w:after="240"/>
      </w:pPr>
      <w:r>
        <w:t>Enduring Materials: recorded/online/print education available over time (typically up to 3 years before re-release requires new review).</w:t>
      </w:r>
      <w:r w:rsidR="1BD23B94">
        <w:t xml:space="preserve"> If an enduring material is created from a live activity, the enduring material must be reported as a separate CME activity. Enduring materials must meet the same standards as other CME activities.</w:t>
      </w:r>
    </w:p>
    <w:p w14:paraId="67B761BB" w14:textId="77777777" w:rsidR="00EA6484" w:rsidRDefault="1653D51A" w:rsidP="1B62D7D4">
      <w:pPr>
        <w:pStyle w:val="ListBullet"/>
        <w:spacing w:after="240"/>
      </w:pPr>
      <w:r>
        <w:t>Journal CME: article-based learning with provider-defined questions/tasks and learner completion requirements.</w:t>
      </w:r>
    </w:p>
    <w:p w14:paraId="012D3DE5" w14:textId="77777777" w:rsidR="00EA6484" w:rsidRDefault="1653D51A" w:rsidP="1B62D7D4">
      <w:pPr>
        <w:pStyle w:val="ListBullet"/>
        <w:spacing w:after="240"/>
      </w:pPr>
      <w:r>
        <w:t>Committee-based CME: learning within a committee process where content would otherwise meet CME definition (e.g., learning QI methods while overseeing QI initiatives).</w:t>
      </w:r>
    </w:p>
    <w:p w14:paraId="3FAC3071" w14:textId="77777777" w:rsidR="00EA6484" w:rsidRDefault="2081AFD7" w:rsidP="1B62D7D4">
      <w:pPr>
        <w:pStyle w:val="Heading1"/>
        <w:spacing w:after="240"/>
      </w:pPr>
      <w:bookmarkStart w:id="45" w:name="_Toc126839308"/>
      <w:bookmarkStart w:id="46" w:name="_Toc704687209"/>
      <w:bookmarkStart w:id="47" w:name="_Toc238829254"/>
      <w:r>
        <w:lastRenderedPageBreak/>
        <w:t>6. Educational Planning and Outcomes</w:t>
      </w:r>
      <w:bookmarkEnd w:id="45"/>
      <w:bookmarkEnd w:id="46"/>
      <w:bookmarkEnd w:id="47"/>
    </w:p>
    <w:p w14:paraId="5807B4AF" w14:textId="53DF0AE7" w:rsidR="651F4222" w:rsidRDefault="1653D51A" w:rsidP="1B62D7D4">
      <w:pPr>
        <w:spacing w:after="240"/>
      </w:pPr>
      <w:r>
        <w:t>Accredited CME must be designed to change learner competence, performance, or patient outcomes. Planning should be documented and based on evidence and/or quality data.</w:t>
      </w:r>
    </w:p>
    <w:p w14:paraId="4B7E008E" w14:textId="3D4F9D18" w:rsidR="00EA6484" w:rsidRDefault="2081AFD7" w:rsidP="1B62D7D4">
      <w:pPr>
        <w:pStyle w:val="Heading2"/>
        <w:spacing w:after="240"/>
      </w:pPr>
      <w:bookmarkStart w:id="48" w:name="_Toc1755533989"/>
      <w:bookmarkStart w:id="49" w:name="_Toc2128981975"/>
      <w:bookmarkStart w:id="50" w:name="_Toc238829255"/>
      <w:r>
        <w:t>6.1 Needs assessment and gap</w:t>
      </w:r>
      <w:bookmarkEnd w:id="48"/>
      <w:bookmarkEnd w:id="49"/>
      <w:bookmarkEnd w:id="50"/>
    </w:p>
    <w:p w14:paraId="3BE81BA8" w14:textId="77777777" w:rsidR="00EA6484" w:rsidRDefault="1653D51A" w:rsidP="1B62D7D4">
      <w:pPr>
        <w:pStyle w:val="ListBullet"/>
        <w:spacing w:after="240"/>
      </w:pPr>
      <w:r>
        <w:t>Needs Assessment: Describe how you identified the educational need (e.g., guidelines, literature, quality/safety data, survey results, stakeholder concerns).</w:t>
      </w:r>
    </w:p>
    <w:p w14:paraId="5279CE3A" w14:textId="0C220984" w:rsidR="00EA6484" w:rsidRDefault="1653D51A" w:rsidP="1B62D7D4">
      <w:pPr>
        <w:pStyle w:val="ListBullet"/>
        <w:spacing w:after="240"/>
      </w:pPr>
      <w:r>
        <w:t>Professional Practice Gap: Describe the difference between current practice and best practice (what learners currently know/do vs</w:t>
      </w:r>
      <w:r w:rsidR="54986022">
        <w:t>.</w:t>
      </w:r>
      <w:r>
        <w:t xml:space="preserve"> what they should know/do).</w:t>
      </w:r>
    </w:p>
    <w:p w14:paraId="25E96AE0" w14:textId="77777777" w:rsidR="00EA6484" w:rsidRDefault="2081AFD7" w:rsidP="1B62D7D4">
      <w:pPr>
        <w:pStyle w:val="Heading2"/>
        <w:spacing w:after="240"/>
      </w:pPr>
      <w:bookmarkStart w:id="51" w:name="_Toc1866053599"/>
      <w:bookmarkStart w:id="52" w:name="_Toc344605521"/>
      <w:bookmarkStart w:id="53" w:name="_Toc238829256"/>
      <w:r>
        <w:t>6.2 Learning objectives and educational design</w:t>
      </w:r>
      <w:bookmarkEnd w:id="51"/>
      <w:bookmarkEnd w:id="52"/>
      <w:bookmarkEnd w:id="53"/>
    </w:p>
    <w:p w14:paraId="06B5EB1F" w14:textId="12AA35AD" w:rsidR="00EA6484" w:rsidRDefault="1653D51A" w:rsidP="1B62D7D4">
      <w:pPr>
        <w:pStyle w:val="ListBullet"/>
        <w:spacing w:after="240"/>
      </w:pPr>
      <w:r>
        <w:t>Write measurable learning objectives that state anticipated outcomes for learners.</w:t>
      </w:r>
      <w:r w:rsidR="5C309E14">
        <w:t xml:space="preserve">  What new knowledge, skills, or strategies will the learner gain from attending the activity?</w:t>
      </w:r>
    </w:p>
    <w:p w14:paraId="0C09AC47" w14:textId="77777777" w:rsidR="00EA6484" w:rsidRDefault="1653D51A" w:rsidP="1B62D7D4">
      <w:pPr>
        <w:pStyle w:val="ListBullet"/>
        <w:spacing w:after="240"/>
      </w:pPr>
      <w:r>
        <w:t>Select educational methods that match objectives (e.g., lecture, case-based discussion, panels, simulation</w:t>
      </w:r>
      <w:bookmarkStart w:id="54" w:name="_Int_srH1bOMI"/>
      <w:r>
        <w:t>, small</w:t>
      </w:r>
      <w:bookmarkEnd w:id="54"/>
      <w:r>
        <w:t xml:space="preserve"> group learning).</w:t>
      </w:r>
    </w:p>
    <w:p w14:paraId="6A22D31E" w14:textId="77777777" w:rsidR="00EA6484" w:rsidRDefault="2081AFD7" w:rsidP="1B62D7D4">
      <w:pPr>
        <w:pStyle w:val="Heading2"/>
        <w:spacing w:after="240"/>
      </w:pPr>
      <w:bookmarkStart w:id="55" w:name="_Toc455528839"/>
      <w:bookmarkStart w:id="56" w:name="_Toc1573040305"/>
      <w:bookmarkStart w:id="57" w:name="_Toc238829257"/>
      <w:r>
        <w:t>6.3 Evaluation and outcomes measurement</w:t>
      </w:r>
      <w:bookmarkEnd w:id="55"/>
      <w:bookmarkEnd w:id="56"/>
      <w:bookmarkEnd w:id="57"/>
    </w:p>
    <w:p w14:paraId="550A0FFF" w14:textId="6E086FE1" w:rsidR="00EA6484" w:rsidRDefault="1653D51A" w:rsidP="1B62D7D4">
      <w:pPr>
        <w:pStyle w:val="ListBullet"/>
        <w:spacing w:after="240"/>
      </w:pPr>
      <w:r>
        <w:t>A post-activity evaluation is required for each activity</w:t>
      </w:r>
      <w:r w:rsidR="5C309E14">
        <w:t xml:space="preserve"> and requires several mandatory questions. </w:t>
      </w:r>
    </w:p>
    <w:p w14:paraId="59DA11D0" w14:textId="004578F9" w:rsidR="00167C6A" w:rsidRDefault="1653D51A" w:rsidP="1B62D7D4">
      <w:pPr>
        <w:pStyle w:val="ListBullet"/>
        <w:spacing w:after="240"/>
      </w:pPr>
      <w:r>
        <w:t xml:space="preserve">Consider additional </w:t>
      </w:r>
      <w:bookmarkStart w:id="58" w:name="_Int_Ek79dZKa"/>
      <w:r>
        <w:t>outcomes</w:t>
      </w:r>
      <w:bookmarkEnd w:id="58"/>
      <w:r>
        <w:t xml:space="preserve"> measures when appropriate (pre/</w:t>
      </w:r>
      <w:bookmarkStart w:id="59" w:name="_Int_iLKGUuGc"/>
      <w:proofErr w:type="spellStart"/>
      <w:r>
        <w:t>post tests</w:t>
      </w:r>
      <w:bookmarkEnd w:id="59"/>
      <w:proofErr w:type="spellEnd"/>
      <w:r>
        <w:t>, follow-up surveys, quality metrics).</w:t>
      </w:r>
    </w:p>
    <w:p w14:paraId="0E893A30" w14:textId="033DE90A" w:rsidR="1B62D7D4" w:rsidRDefault="1B62D7D4" w:rsidP="1B62D7D4">
      <w:pPr>
        <w:pStyle w:val="ListBullet"/>
        <w:numPr>
          <w:ilvl w:val="0"/>
          <w:numId w:val="0"/>
        </w:numPr>
        <w:spacing w:after="240"/>
        <w:ind w:left="360"/>
      </w:pPr>
    </w:p>
    <w:p w14:paraId="00C243EA" w14:textId="4619F0AD" w:rsidR="78267A0F" w:rsidRDefault="045005D3" w:rsidP="1B62D7D4">
      <w:pPr>
        <w:pStyle w:val="Heading1"/>
        <w:spacing w:after="240"/>
        <w:rPr>
          <w:szCs w:val="32"/>
        </w:rPr>
      </w:pPr>
      <w:bookmarkStart w:id="60" w:name="_Toc1716188276"/>
      <w:bookmarkStart w:id="61" w:name="_Toc2082168505"/>
      <w:bookmarkStart w:id="62" w:name="_Toc238829258"/>
      <w:r>
        <w:t xml:space="preserve">7. </w:t>
      </w:r>
      <w:r w:rsidR="48D329E3">
        <w:t>Maintenance of Certification (MOC) &amp; Continuing Certification (CC)</w:t>
      </w:r>
      <w:bookmarkEnd w:id="60"/>
      <w:bookmarkEnd w:id="61"/>
      <w:bookmarkEnd w:id="62"/>
    </w:p>
    <w:p w14:paraId="6192EDE1" w14:textId="17BEF238" w:rsidR="2420DED4" w:rsidRDefault="2420DED4" w:rsidP="1B62D7D4">
      <w:pPr>
        <w:spacing w:after="240"/>
        <w:rPr>
          <w:rFonts w:eastAsia="Calibri" w:cs="Calibri"/>
          <w:b/>
          <w:bCs/>
          <w:color w:val="365F91" w:themeColor="accent1" w:themeShade="BF"/>
          <w:sz w:val="32"/>
          <w:szCs w:val="32"/>
        </w:rPr>
      </w:pPr>
    </w:p>
    <w:p w14:paraId="275258A4" w14:textId="4BF9AA53" w:rsidR="78267A0F" w:rsidRDefault="5BE47B29" w:rsidP="1B62D7D4">
      <w:pPr>
        <w:spacing w:after="240"/>
      </w:pPr>
      <w:r w:rsidRPr="19495BB1">
        <w:rPr>
          <w:rFonts w:eastAsia="Calibri" w:cs="Calibri"/>
        </w:rPr>
        <w:t xml:space="preserve">Maintenance of Certification (MOC)—also called Continuing Certification (CC) by many boards—is a system used by specialty boards to ensure physicians maintain lifelong competence. MOC or CC is required to maintain medical board certification (e.g. ABIM, ABS, etc.), not physician licensure (which CME helps maintain). Each specialty has different requirements for accrediting activities for MOC/CC, and often additional measures are required by course planners to accredit an activity for both CME </w:t>
      </w:r>
      <w:r w:rsidRPr="1B62D7D4">
        <w:rPr>
          <w:rFonts w:eastAsia="Calibri" w:cs="Calibri"/>
          <w:i/>
          <w:iCs/>
        </w:rPr>
        <w:t xml:space="preserve">and </w:t>
      </w:r>
      <w:r w:rsidRPr="19495BB1">
        <w:rPr>
          <w:rFonts w:eastAsia="Calibri" w:cs="Calibri"/>
        </w:rPr>
        <w:t>MOC.</w:t>
      </w:r>
      <w:r w:rsidR="7ACC6BFE">
        <w:rPr>
          <w:noProof/>
        </w:rPr>
        <w:drawing>
          <wp:anchor distT="0" distB="0" distL="114300" distR="114300" simplePos="0" relativeHeight="251658240" behindDoc="0" locked="0" layoutInCell="1" allowOverlap="1" wp14:anchorId="292DFE03" wp14:editId="72E65A37">
            <wp:simplePos x="0" y="0"/>
            <wp:positionH relativeFrom="column">
              <wp:align>right</wp:align>
            </wp:positionH>
            <wp:positionV relativeFrom="paragraph">
              <wp:posOffset>0</wp:posOffset>
            </wp:positionV>
            <wp:extent cx="2364823" cy="2534872"/>
            <wp:effectExtent l="0" t="0" r="0" b="0"/>
            <wp:wrapSquare wrapText="bothSides"/>
            <wp:docPr id="1384468925" name="drawing">
              <a:extLst xmlns:a="http://schemas.openxmlformats.org/drawingml/2006/main">
                <a:ext uri="{FF2B5EF4-FFF2-40B4-BE49-F238E27FC236}">
                  <a16:creationId xmlns:a16="http://schemas.microsoft.com/office/drawing/2014/main" id="{1A5A59E6-37A5-40BE-91CC-5CD63272BA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493627" name="Picture 322493627"/>
                    <pic:cNvPicPr/>
                  </pic:nvPicPr>
                  <pic:blipFill>
                    <a:blip r:embed="rId14">
                      <a:extLst>
                        <a:ext uri="{28A0092B-C50C-407E-A947-70E740481C1C}">
                          <a14:useLocalDpi xmlns:a14="http://schemas.microsoft.com/office/drawing/2010/main"/>
                        </a:ext>
                      </a:extLst>
                    </a:blip>
                    <a:srcRect t="12000" b="12000"/>
                    <a:stretch>
                      <a:fillRect/>
                    </a:stretch>
                  </pic:blipFill>
                  <pic:spPr>
                    <a:xfrm>
                      <a:off x="0" y="0"/>
                      <a:ext cx="2364823" cy="2534872"/>
                    </a:xfrm>
                    <a:prstGeom prst="rect">
                      <a:avLst/>
                    </a:prstGeom>
                  </pic:spPr>
                </pic:pic>
              </a:graphicData>
            </a:graphic>
            <wp14:sizeRelH relativeFrom="page">
              <wp14:pctWidth>0</wp14:pctWidth>
            </wp14:sizeRelH>
            <wp14:sizeRelV relativeFrom="page">
              <wp14:pctHeight>0</wp14:pctHeight>
            </wp14:sizeRelV>
          </wp:anchor>
        </w:drawing>
      </w:r>
    </w:p>
    <w:p w14:paraId="0982502A" w14:textId="73F664DF" w:rsidR="78267A0F" w:rsidRDefault="293CC01E" w:rsidP="1B62D7D4">
      <w:pPr>
        <w:pStyle w:val="Heading2"/>
        <w:spacing w:after="240"/>
      </w:pPr>
      <w:bookmarkStart w:id="63" w:name="_Toc1849822006"/>
      <w:bookmarkStart w:id="64" w:name="_Toc1948710700"/>
      <w:bookmarkStart w:id="65" w:name="_Toc238829259"/>
      <w:r>
        <w:lastRenderedPageBreak/>
        <w:t>7</w:t>
      </w:r>
      <w:r w:rsidR="48D329E3">
        <w:t>.1 Benefits of Integrating MOC/CC into a CME Activity</w:t>
      </w:r>
      <w:bookmarkEnd w:id="63"/>
      <w:bookmarkEnd w:id="64"/>
      <w:bookmarkEnd w:id="65"/>
    </w:p>
    <w:p w14:paraId="1F946A60" w14:textId="45C0F7BC" w:rsidR="78267A0F" w:rsidRDefault="5BE47B29" w:rsidP="1B62D7D4">
      <w:pPr>
        <w:pStyle w:val="ListParagraph"/>
        <w:numPr>
          <w:ilvl w:val="0"/>
          <w:numId w:val="37"/>
        </w:numPr>
        <w:spacing w:after="240"/>
        <w:rPr>
          <w:rFonts w:eastAsia="Calibri" w:cs="Calibri"/>
        </w:rPr>
      </w:pPr>
      <w:r w:rsidRPr="1B62D7D4">
        <w:rPr>
          <w:rFonts w:eastAsia="Calibri" w:cs="Calibri"/>
        </w:rPr>
        <w:t>For Physicians: Reduces certification burden, streamlines educational requirements, ensure clinical relevance</w:t>
      </w:r>
    </w:p>
    <w:p w14:paraId="2583461E" w14:textId="5D98DA3E" w:rsidR="78267A0F" w:rsidRDefault="5BE47B29" w:rsidP="1B62D7D4">
      <w:pPr>
        <w:pStyle w:val="ListParagraph"/>
        <w:numPr>
          <w:ilvl w:val="0"/>
          <w:numId w:val="37"/>
        </w:numPr>
        <w:spacing w:after="240"/>
        <w:rPr>
          <w:rFonts w:eastAsia="Calibri" w:cs="Calibri"/>
        </w:rPr>
      </w:pPr>
      <w:r w:rsidRPr="1B62D7D4">
        <w:rPr>
          <w:rFonts w:eastAsia="Calibri" w:cs="Calibri"/>
        </w:rPr>
        <w:t>For CME Planners: Enhances engagement and participation, aligns education with national standards, supports organizational quality and safety priorities (if QI MOC/CC), added value to program leadership and clinicians</w:t>
      </w:r>
    </w:p>
    <w:p w14:paraId="5E76A311" w14:textId="729D7A76" w:rsidR="78267A0F" w:rsidRDefault="192BAE30" w:rsidP="1B62D7D4">
      <w:pPr>
        <w:pStyle w:val="Heading2"/>
        <w:spacing w:after="240"/>
      </w:pPr>
      <w:bookmarkStart w:id="66" w:name="_Toc553411405"/>
      <w:bookmarkStart w:id="67" w:name="_Toc1363402488"/>
      <w:bookmarkStart w:id="68" w:name="_Toc238829260"/>
      <w:r>
        <w:t>7</w:t>
      </w:r>
      <w:r w:rsidR="48D329E3">
        <w:t>.2 Planning CME Activities with MOC/CC in Mind</w:t>
      </w:r>
      <w:bookmarkEnd w:id="66"/>
      <w:bookmarkEnd w:id="67"/>
      <w:bookmarkEnd w:id="68"/>
    </w:p>
    <w:p w14:paraId="18E456B3" w14:textId="67373114" w:rsidR="78267A0F" w:rsidRDefault="48D329E3" w:rsidP="1B62D7D4">
      <w:pPr>
        <w:pStyle w:val="Heading3"/>
        <w:spacing w:after="240"/>
        <w:rPr>
          <w:rFonts w:eastAsia="Calibri" w:cs="Calibri"/>
        </w:rPr>
      </w:pPr>
      <w:bookmarkStart w:id="69" w:name="_Toc535044713"/>
      <w:bookmarkStart w:id="70" w:name="_Toc2001848609"/>
      <w:bookmarkStart w:id="71" w:name="_Toc238829261"/>
      <w:r>
        <w:t>BEFORE the activity:</w:t>
      </w:r>
      <w:bookmarkEnd w:id="69"/>
      <w:bookmarkEnd w:id="70"/>
      <w:bookmarkEnd w:id="71"/>
    </w:p>
    <w:p w14:paraId="70998A89" w14:textId="00896A80" w:rsidR="78267A0F" w:rsidRDefault="48D329E3" w:rsidP="1B62D7D4">
      <w:pPr>
        <w:pStyle w:val="ListParagraph"/>
        <w:numPr>
          <w:ilvl w:val="0"/>
          <w:numId w:val="36"/>
        </w:numPr>
        <w:spacing w:after="240"/>
        <w:rPr>
          <w:rFonts w:eastAsia="Calibri" w:cs="Calibri"/>
        </w:rPr>
      </w:pPr>
      <w:r w:rsidRPr="1B62D7D4">
        <w:rPr>
          <w:rFonts w:eastAsia="Calibri" w:cs="Calibri"/>
        </w:rPr>
        <w:t>Determine Board Alignment</w:t>
      </w:r>
    </w:p>
    <w:p w14:paraId="2C75F936" w14:textId="20EADA33" w:rsidR="78267A0F" w:rsidRDefault="48D329E3" w:rsidP="1B62D7D4">
      <w:pPr>
        <w:pStyle w:val="ListParagraph"/>
        <w:numPr>
          <w:ilvl w:val="1"/>
          <w:numId w:val="36"/>
        </w:numPr>
        <w:spacing w:after="240"/>
        <w:rPr>
          <w:rFonts w:eastAsia="Calibri" w:cs="Calibri"/>
        </w:rPr>
      </w:pPr>
      <w:r w:rsidRPr="1B62D7D4">
        <w:rPr>
          <w:rFonts w:eastAsia="Calibri" w:cs="Calibri"/>
        </w:rPr>
        <w:t xml:space="preserve">Identify which specialty board(s) the activity will support (note, the ACCME has a relationship with </w:t>
      </w:r>
      <w:r w:rsidRPr="1B62D7D4">
        <w:rPr>
          <w:rFonts w:eastAsia="Calibri" w:cs="Calibri"/>
          <w:i/>
          <w:iCs/>
        </w:rPr>
        <w:t>most</w:t>
      </w:r>
      <w:r w:rsidRPr="1B62D7D4">
        <w:rPr>
          <w:rFonts w:eastAsia="Calibri" w:cs="Calibri"/>
        </w:rPr>
        <w:t xml:space="preserve"> ABMS specialties, but not all.</w:t>
      </w:r>
    </w:p>
    <w:p w14:paraId="53F63BD1" w14:textId="6E0BE818" w:rsidR="78267A0F" w:rsidRDefault="48D329E3" w:rsidP="1B62D7D4">
      <w:pPr>
        <w:pStyle w:val="ListParagraph"/>
        <w:numPr>
          <w:ilvl w:val="0"/>
          <w:numId w:val="36"/>
        </w:numPr>
        <w:spacing w:after="240"/>
        <w:rPr>
          <w:rFonts w:eastAsia="Calibri" w:cs="Calibri"/>
        </w:rPr>
      </w:pPr>
      <w:r w:rsidRPr="1B62D7D4">
        <w:rPr>
          <w:rFonts w:eastAsia="Calibri" w:cs="Calibri"/>
        </w:rPr>
        <w:t xml:space="preserve">CME Application: </w:t>
      </w:r>
    </w:p>
    <w:p w14:paraId="23ED86DC" w14:textId="728CF4B6" w:rsidR="78267A0F" w:rsidRDefault="48D329E3" w:rsidP="1B62D7D4">
      <w:pPr>
        <w:pStyle w:val="ListParagraph"/>
        <w:numPr>
          <w:ilvl w:val="1"/>
          <w:numId w:val="36"/>
        </w:numPr>
        <w:spacing w:after="240"/>
        <w:rPr>
          <w:rFonts w:eastAsia="Calibri" w:cs="Calibri"/>
        </w:rPr>
      </w:pPr>
      <w:r w:rsidRPr="1B62D7D4">
        <w:rPr>
          <w:rFonts w:eastAsia="Calibri" w:cs="Calibri"/>
        </w:rPr>
        <w:t>Indicate intention to provide MOC by completing the “Maintenance of Certification” section of the CME application</w:t>
      </w:r>
    </w:p>
    <w:p w14:paraId="3FA78118" w14:textId="6C86F290" w:rsidR="78267A0F" w:rsidRDefault="48D329E3" w:rsidP="1B62D7D4">
      <w:pPr>
        <w:pStyle w:val="ListParagraph"/>
        <w:numPr>
          <w:ilvl w:val="1"/>
          <w:numId w:val="36"/>
        </w:numPr>
        <w:spacing w:after="240"/>
        <w:rPr>
          <w:rFonts w:eastAsia="Calibri" w:cs="Calibri"/>
        </w:rPr>
      </w:pPr>
      <w:r w:rsidRPr="1B62D7D4">
        <w:rPr>
          <w:rFonts w:eastAsia="Calibri" w:cs="Calibri"/>
        </w:rPr>
        <w:t xml:space="preserve">Must meet </w:t>
      </w:r>
      <w:r w:rsidRPr="1B62D7D4">
        <w:rPr>
          <w:rFonts w:eastAsia="Calibri" w:cs="Calibri"/>
          <w:i/>
          <w:iCs/>
        </w:rPr>
        <w:t>at least</w:t>
      </w:r>
      <w:r w:rsidRPr="1B62D7D4">
        <w:rPr>
          <w:rFonts w:eastAsia="Calibri" w:cs="Calibri"/>
        </w:rPr>
        <w:t xml:space="preserve"> 1 ABMS/ACGME competency (practice-based learning and improvement, patient care and procedural skills, systems-based practice, medical knowledge, interpersonal and communication skills, professionalism).</w:t>
      </w:r>
    </w:p>
    <w:p w14:paraId="6BA1385A" w14:textId="3DC01A18" w:rsidR="78267A0F" w:rsidRDefault="48D329E3" w:rsidP="1B62D7D4">
      <w:pPr>
        <w:pStyle w:val="ListParagraph"/>
        <w:numPr>
          <w:ilvl w:val="0"/>
          <w:numId w:val="36"/>
        </w:numPr>
        <w:spacing w:after="240"/>
        <w:rPr>
          <w:rFonts w:eastAsia="Calibri" w:cs="Calibri"/>
        </w:rPr>
      </w:pPr>
      <w:r w:rsidRPr="1B62D7D4">
        <w:rPr>
          <w:rFonts w:eastAsia="Calibri" w:cs="Calibri"/>
        </w:rPr>
        <w:t xml:space="preserve">Notify the Office of CME. OCME will partner with you to ensure your activity incorporates board-specific requirements as well as ACCME standards. </w:t>
      </w:r>
    </w:p>
    <w:p w14:paraId="2551AF69" w14:textId="731D8459" w:rsidR="78267A0F" w:rsidRDefault="48D329E3" w:rsidP="1B62D7D4">
      <w:pPr>
        <w:pStyle w:val="ListParagraph"/>
        <w:numPr>
          <w:ilvl w:val="0"/>
          <w:numId w:val="36"/>
        </w:numPr>
        <w:spacing w:after="240"/>
        <w:rPr>
          <w:rFonts w:eastAsia="Calibri" w:cs="Calibri"/>
        </w:rPr>
      </w:pPr>
      <w:r w:rsidRPr="1B62D7D4">
        <w:rPr>
          <w:rFonts w:eastAsia="Calibri" w:cs="Calibri"/>
        </w:rPr>
        <w:t>Gather learner information and consent to report during registration</w:t>
      </w:r>
    </w:p>
    <w:p w14:paraId="5AB7F874" w14:textId="45370B1D" w:rsidR="78267A0F" w:rsidRDefault="48D329E3" w:rsidP="1B62D7D4">
      <w:pPr>
        <w:pStyle w:val="ListParagraph"/>
        <w:numPr>
          <w:ilvl w:val="0"/>
          <w:numId w:val="36"/>
        </w:numPr>
        <w:spacing w:after="240"/>
        <w:rPr>
          <w:rFonts w:eastAsia="Calibri" w:cs="Calibri"/>
        </w:rPr>
      </w:pPr>
      <w:r w:rsidRPr="1B62D7D4">
        <w:rPr>
          <w:rFonts w:eastAsia="Calibri" w:cs="Calibri"/>
        </w:rPr>
        <w:t>Include Required MOC Statements in all promotional materials</w:t>
      </w:r>
    </w:p>
    <w:p w14:paraId="05084756" w14:textId="0B6768F3" w:rsidR="78267A0F" w:rsidRDefault="48D329E3" w:rsidP="1B62D7D4">
      <w:pPr>
        <w:pStyle w:val="Heading3"/>
        <w:spacing w:after="240"/>
        <w:rPr>
          <w:rFonts w:eastAsia="Calibri" w:cs="Calibri"/>
        </w:rPr>
      </w:pPr>
      <w:bookmarkStart w:id="72" w:name="_Toc24699316"/>
      <w:bookmarkStart w:id="73" w:name="_Toc36750558"/>
      <w:bookmarkStart w:id="74" w:name="_Toc238829262"/>
      <w:proofErr w:type="gramStart"/>
      <w:r>
        <w:t>DURING</w:t>
      </w:r>
      <w:proofErr w:type="gramEnd"/>
      <w:r>
        <w:t xml:space="preserve"> the activity:</w:t>
      </w:r>
      <w:bookmarkEnd w:id="72"/>
      <w:bookmarkEnd w:id="73"/>
      <w:bookmarkEnd w:id="74"/>
    </w:p>
    <w:p w14:paraId="57489E8E" w14:textId="5C904E42" w:rsidR="78267A0F" w:rsidRDefault="48D329E3" w:rsidP="1B62D7D4">
      <w:pPr>
        <w:pStyle w:val="ListParagraph"/>
        <w:numPr>
          <w:ilvl w:val="0"/>
          <w:numId w:val="36"/>
        </w:numPr>
        <w:spacing w:after="240"/>
        <w:rPr>
          <w:rFonts w:eastAsia="Calibri" w:cs="Calibri"/>
        </w:rPr>
      </w:pPr>
      <w:r w:rsidRPr="1B62D7D4">
        <w:rPr>
          <w:rFonts w:eastAsia="Calibri" w:cs="Calibri"/>
        </w:rPr>
        <w:t>Incorporate Board-Required Elements (examples of how to do so below)</w:t>
      </w:r>
    </w:p>
    <w:p w14:paraId="78BF3FE4" w14:textId="599C28B4" w:rsidR="78267A0F" w:rsidRDefault="48D329E3" w:rsidP="1B62D7D4">
      <w:pPr>
        <w:pStyle w:val="ListParagraph"/>
        <w:numPr>
          <w:ilvl w:val="1"/>
          <w:numId w:val="36"/>
        </w:numPr>
        <w:spacing w:after="240"/>
        <w:rPr>
          <w:rFonts w:eastAsia="Calibri" w:cs="Calibri"/>
        </w:rPr>
      </w:pPr>
      <w:r w:rsidRPr="1B62D7D4">
        <w:rPr>
          <w:rFonts w:eastAsia="Calibri" w:cs="Calibri"/>
        </w:rPr>
        <w:t>For Knowledge/Assessment Credit:</w:t>
      </w:r>
    </w:p>
    <w:p w14:paraId="2DBA338E" w14:textId="302356A3" w:rsidR="78267A0F" w:rsidRDefault="48D329E3" w:rsidP="1B62D7D4">
      <w:pPr>
        <w:pStyle w:val="ListParagraph"/>
        <w:numPr>
          <w:ilvl w:val="2"/>
          <w:numId w:val="36"/>
        </w:numPr>
        <w:spacing w:after="240"/>
        <w:rPr>
          <w:rFonts w:eastAsia="Calibri" w:cs="Calibri"/>
        </w:rPr>
      </w:pPr>
      <w:r w:rsidRPr="1B62D7D4">
        <w:rPr>
          <w:rFonts w:eastAsia="Calibri" w:cs="Calibri"/>
        </w:rPr>
        <w:t>Include a post-test or structured assessment (e.g. multiple choice, case-based)</w:t>
      </w:r>
    </w:p>
    <w:p w14:paraId="389935DA" w14:textId="257C7BC3" w:rsidR="78267A0F" w:rsidRDefault="48D329E3" w:rsidP="1B62D7D4">
      <w:pPr>
        <w:pStyle w:val="ListParagraph"/>
        <w:numPr>
          <w:ilvl w:val="2"/>
          <w:numId w:val="36"/>
        </w:numPr>
        <w:spacing w:after="240"/>
        <w:rPr>
          <w:rFonts w:eastAsia="Calibri" w:cs="Calibri"/>
        </w:rPr>
      </w:pPr>
      <w:r w:rsidRPr="1B62D7D4">
        <w:rPr>
          <w:rFonts w:eastAsia="Calibri" w:cs="Calibri"/>
        </w:rPr>
        <w:t>Set and document a pre-specified passing standard (e.g. 70%).</w:t>
      </w:r>
    </w:p>
    <w:p w14:paraId="2A728EA1" w14:textId="6E57989F" w:rsidR="78267A0F" w:rsidRDefault="48D329E3" w:rsidP="1B62D7D4">
      <w:pPr>
        <w:pStyle w:val="ListParagraph"/>
        <w:numPr>
          <w:ilvl w:val="3"/>
          <w:numId w:val="36"/>
        </w:numPr>
        <w:spacing w:after="240"/>
        <w:rPr>
          <w:rFonts w:eastAsia="Calibri" w:cs="Calibri"/>
        </w:rPr>
      </w:pPr>
      <w:r w:rsidRPr="1B62D7D4">
        <w:rPr>
          <w:rFonts w:eastAsia="Calibri" w:cs="Calibri"/>
        </w:rPr>
        <w:t xml:space="preserve">Tip: there is no required passing level; lower passing percentages are fine, especially for activities where not all participants may have attended every </w:t>
      </w:r>
      <w:proofErr w:type="gramStart"/>
      <w:r w:rsidRPr="1B62D7D4">
        <w:rPr>
          <w:rFonts w:eastAsia="Calibri" w:cs="Calibri"/>
        </w:rPr>
        <w:t>break out</w:t>
      </w:r>
      <w:proofErr w:type="gramEnd"/>
      <w:r w:rsidRPr="1B62D7D4">
        <w:rPr>
          <w:rFonts w:eastAsia="Calibri" w:cs="Calibri"/>
        </w:rPr>
        <w:t xml:space="preserve"> activity.</w:t>
      </w:r>
    </w:p>
    <w:p w14:paraId="5B136F96" w14:textId="36FEC8E0" w:rsidR="78267A0F" w:rsidRDefault="48D329E3" w:rsidP="1B62D7D4">
      <w:pPr>
        <w:pStyle w:val="ListParagraph"/>
        <w:numPr>
          <w:ilvl w:val="2"/>
          <w:numId w:val="36"/>
        </w:numPr>
        <w:spacing w:after="240"/>
        <w:rPr>
          <w:rFonts w:eastAsia="Calibri" w:cs="Calibri"/>
        </w:rPr>
      </w:pPr>
      <w:r w:rsidRPr="1B62D7D4">
        <w:rPr>
          <w:rFonts w:eastAsia="Calibri" w:cs="Calibri"/>
        </w:rPr>
        <w:t>Provide feedback or rationale for correct answers</w:t>
      </w:r>
    </w:p>
    <w:p w14:paraId="26EAAC9A" w14:textId="7FA4AE60" w:rsidR="78267A0F" w:rsidRDefault="48D329E3" w:rsidP="1B62D7D4">
      <w:pPr>
        <w:pStyle w:val="ListParagraph"/>
        <w:numPr>
          <w:ilvl w:val="1"/>
          <w:numId w:val="36"/>
        </w:numPr>
        <w:spacing w:after="240"/>
        <w:rPr>
          <w:rFonts w:eastAsia="Calibri" w:cs="Calibri"/>
        </w:rPr>
      </w:pPr>
      <w:r w:rsidRPr="1B62D7D4">
        <w:rPr>
          <w:rFonts w:eastAsia="Calibri" w:cs="Calibri"/>
        </w:rPr>
        <w:t>For Quality Improvement or Process Improvement Credit</w:t>
      </w:r>
    </w:p>
    <w:p w14:paraId="5E862621" w14:textId="627CFF4B" w:rsidR="78267A0F" w:rsidRDefault="48D329E3" w:rsidP="1B62D7D4">
      <w:pPr>
        <w:pStyle w:val="ListParagraph"/>
        <w:numPr>
          <w:ilvl w:val="2"/>
          <w:numId w:val="36"/>
        </w:numPr>
        <w:spacing w:after="240"/>
        <w:rPr>
          <w:rFonts w:eastAsia="Calibri" w:cs="Calibri"/>
        </w:rPr>
      </w:pPr>
      <w:r w:rsidRPr="1B62D7D4">
        <w:rPr>
          <w:rFonts w:eastAsia="Calibri" w:cs="Calibri"/>
        </w:rPr>
        <w:t xml:space="preserve">Include a structured improvement framework (PDSA, DMAIC, </w:t>
      </w:r>
      <w:proofErr w:type="spellStart"/>
      <w:r w:rsidRPr="1B62D7D4">
        <w:rPr>
          <w:rFonts w:eastAsia="Calibri" w:cs="Calibri"/>
        </w:rPr>
        <w:t>etc</w:t>
      </w:r>
      <w:proofErr w:type="spellEnd"/>
      <w:r w:rsidRPr="1B62D7D4">
        <w:rPr>
          <w:rFonts w:eastAsia="Calibri" w:cs="Calibri"/>
        </w:rPr>
        <w:t>).</w:t>
      </w:r>
    </w:p>
    <w:p w14:paraId="48513A5F" w14:textId="5002683D" w:rsidR="78267A0F" w:rsidRDefault="48D329E3" w:rsidP="1B62D7D4">
      <w:pPr>
        <w:pStyle w:val="ListParagraph"/>
        <w:numPr>
          <w:ilvl w:val="2"/>
          <w:numId w:val="36"/>
        </w:numPr>
        <w:spacing w:after="240"/>
        <w:rPr>
          <w:rFonts w:eastAsia="Calibri" w:cs="Calibri"/>
        </w:rPr>
      </w:pPr>
      <w:r w:rsidRPr="1B62D7D4">
        <w:rPr>
          <w:rFonts w:eastAsia="Calibri" w:cs="Calibri"/>
        </w:rPr>
        <w:t>Offer baseline and follow-up measurement opportunities</w:t>
      </w:r>
    </w:p>
    <w:p w14:paraId="05751692" w14:textId="4DBD39B2" w:rsidR="78267A0F" w:rsidRDefault="48D329E3" w:rsidP="1B62D7D4">
      <w:pPr>
        <w:pStyle w:val="ListParagraph"/>
        <w:numPr>
          <w:ilvl w:val="2"/>
          <w:numId w:val="36"/>
        </w:numPr>
        <w:spacing w:after="240"/>
        <w:rPr>
          <w:rFonts w:eastAsia="Calibri" w:cs="Calibri"/>
        </w:rPr>
      </w:pPr>
      <w:r w:rsidRPr="1B62D7D4">
        <w:rPr>
          <w:rFonts w:eastAsia="Calibri" w:cs="Calibri"/>
        </w:rPr>
        <w:t>Document participation in data collection or practice change</w:t>
      </w:r>
    </w:p>
    <w:p w14:paraId="13C53154" w14:textId="7E2E957B" w:rsidR="78267A0F" w:rsidRDefault="48D329E3" w:rsidP="1B62D7D4">
      <w:pPr>
        <w:pStyle w:val="ListParagraph"/>
        <w:numPr>
          <w:ilvl w:val="2"/>
          <w:numId w:val="36"/>
        </w:numPr>
        <w:spacing w:after="240"/>
        <w:rPr>
          <w:rFonts w:eastAsia="Calibri" w:cs="Calibri"/>
        </w:rPr>
      </w:pPr>
      <w:r w:rsidRPr="1B62D7D4">
        <w:rPr>
          <w:rFonts w:eastAsia="Calibri" w:cs="Calibri"/>
        </w:rPr>
        <w:t>Confirm activity meets chosen board’s QI/PI-CME criteria</w:t>
      </w:r>
    </w:p>
    <w:p w14:paraId="1944B5F7" w14:textId="13AB2A6A" w:rsidR="78267A0F" w:rsidRDefault="48D329E3" w:rsidP="1B62D7D4">
      <w:pPr>
        <w:pStyle w:val="ListParagraph"/>
        <w:numPr>
          <w:ilvl w:val="0"/>
          <w:numId w:val="36"/>
        </w:numPr>
        <w:spacing w:after="240"/>
        <w:rPr>
          <w:rFonts w:eastAsia="Calibri" w:cs="Calibri"/>
        </w:rPr>
      </w:pPr>
      <w:r w:rsidRPr="1B62D7D4">
        <w:rPr>
          <w:rFonts w:eastAsia="Calibri" w:cs="Calibri"/>
        </w:rPr>
        <w:lastRenderedPageBreak/>
        <w:t>Collect Required Learner Information and Consent (if not done prior to the activity)</w:t>
      </w:r>
    </w:p>
    <w:p w14:paraId="1678BEF2" w14:textId="04643123" w:rsidR="78267A0F" w:rsidRDefault="48D329E3" w:rsidP="1B62D7D4">
      <w:pPr>
        <w:pStyle w:val="Heading3"/>
        <w:spacing w:after="240"/>
        <w:rPr>
          <w:rFonts w:eastAsia="Calibri" w:cs="Calibri"/>
        </w:rPr>
      </w:pPr>
      <w:bookmarkStart w:id="75" w:name="_Toc623037450"/>
      <w:bookmarkStart w:id="76" w:name="_Toc996782142"/>
      <w:bookmarkStart w:id="77" w:name="_Toc238829263"/>
      <w:r>
        <w:t>AFTER the activity:</w:t>
      </w:r>
      <w:bookmarkEnd w:id="75"/>
      <w:bookmarkEnd w:id="76"/>
      <w:bookmarkEnd w:id="77"/>
    </w:p>
    <w:p w14:paraId="5D3EC555" w14:textId="32D75F17" w:rsidR="78267A0F" w:rsidRDefault="48D329E3" w:rsidP="1B62D7D4">
      <w:pPr>
        <w:pStyle w:val="ListParagraph"/>
        <w:numPr>
          <w:ilvl w:val="0"/>
          <w:numId w:val="36"/>
        </w:numPr>
        <w:spacing w:after="240"/>
        <w:rPr>
          <w:rFonts w:eastAsia="Calibri" w:cs="Calibri"/>
        </w:rPr>
      </w:pPr>
      <w:r w:rsidRPr="1B62D7D4">
        <w:rPr>
          <w:rFonts w:eastAsia="Calibri" w:cs="Calibri"/>
        </w:rPr>
        <w:t xml:space="preserve">Implement evaluation/feedback mechanism (post-test, structured assessment, </w:t>
      </w:r>
      <w:proofErr w:type="spellStart"/>
      <w:r w:rsidRPr="1B62D7D4">
        <w:rPr>
          <w:rFonts w:eastAsia="Calibri" w:cs="Calibri"/>
        </w:rPr>
        <w:t>etc</w:t>
      </w:r>
      <w:proofErr w:type="spellEnd"/>
      <w:r w:rsidRPr="1B62D7D4">
        <w:rPr>
          <w:rFonts w:eastAsia="Calibri" w:cs="Calibri"/>
        </w:rPr>
        <w:t>).</w:t>
      </w:r>
    </w:p>
    <w:p w14:paraId="4BCF7B00" w14:textId="02A7ECF6" w:rsidR="78267A0F" w:rsidRDefault="48D329E3" w:rsidP="1B62D7D4">
      <w:pPr>
        <w:pStyle w:val="ListParagraph"/>
        <w:numPr>
          <w:ilvl w:val="1"/>
          <w:numId w:val="36"/>
        </w:numPr>
        <w:spacing w:after="240"/>
        <w:rPr>
          <w:rFonts w:eastAsia="Calibri" w:cs="Calibri"/>
        </w:rPr>
      </w:pPr>
      <w:r w:rsidRPr="1B62D7D4">
        <w:rPr>
          <w:rFonts w:eastAsia="Calibri" w:cs="Calibri"/>
        </w:rPr>
        <w:t>Review test performance to ensure fairness and accuracy</w:t>
      </w:r>
    </w:p>
    <w:p w14:paraId="784BA1D2" w14:textId="14BC181B" w:rsidR="78267A0F" w:rsidRDefault="48D329E3" w:rsidP="1B62D7D4">
      <w:pPr>
        <w:pStyle w:val="ListParagraph"/>
        <w:numPr>
          <w:ilvl w:val="1"/>
          <w:numId w:val="36"/>
        </w:numPr>
        <w:spacing w:after="240"/>
        <w:rPr>
          <w:rFonts w:eastAsia="Calibri" w:cs="Calibri"/>
        </w:rPr>
      </w:pPr>
      <w:r w:rsidRPr="1B62D7D4">
        <w:rPr>
          <w:rFonts w:eastAsia="Calibri" w:cs="Calibri"/>
        </w:rPr>
        <w:t>If QI/PI: ensure improvement cycles feasible, measurable.</w:t>
      </w:r>
    </w:p>
    <w:p w14:paraId="11E409DA" w14:textId="427614E1" w:rsidR="48D329E3" w:rsidRDefault="48D329E3" w:rsidP="1B62D7D4">
      <w:pPr>
        <w:pStyle w:val="ListParagraph"/>
        <w:numPr>
          <w:ilvl w:val="0"/>
          <w:numId w:val="36"/>
        </w:numPr>
        <w:spacing w:after="240"/>
        <w:rPr>
          <w:rFonts w:eastAsia="Calibri" w:cs="Calibri"/>
        </w:rPr>
      </w:pPr>
      <w:r w:rsidRPr="1B62D7D4">
        <w:rPr>
          <w:rFonts w:eastAsia="Calibri" w:cs="Calibri"/>
        </w:rPr>
        <w:t>OCME will report out learner data in PARS, which will automatically be reported to learner’s participating boards</w:t>
      </w:r>
    </w:p>
    <w:p w14:paraId="752FA38A" w14:textId="08E5CFE4" w:rsidR="00EA6484" w:rsidRDefault="139BD0DE" w:rsidP="1B62D7D4">
      <w:pPr>
        <w:pStyle w:val="Heading1"/>
        <w:spacing w:after="240"/>
      </w:pPr>
      <w:bookmarkStart w:id="78" w:name="_Toc306604236"/>
      <w:bookmarkStart w:id="79" w:name="_Toc89433431"/>
      <w:bookmarkStart w:id="80" w:name="_Toc238829264"/>
      <w:r>
        <w:t>8</w:t>
      </w:r>
      <w:r w:rsidR="2081AFD7">
        <w:t>. Collaborative Learning Culture</w:t>
      </w:r>
      <w:r w:rsidR="39BD2274">
        <w:t xml:space="preserve"> </w:t>
      </w:r>
      <w:r w:rsidR="2081AFD7">
        <w:t>and Accessibility</w:t>
      </w:r>
      <w:bookmarkEnd w:id="78"/>
      <w:bookmarkEnd w:id="79"/>
      <w:bookmarkEnd w:id="80"/>
    </w:p>
    <w:p w14:paraId="3FA1DE71" w14:textId="77777777" w:rsidR="00EA6484" w:rsidRDefault="1653D51A" w:rsidP="1B62D7D4">
      <w:pPr>
        <w:spacing w:after="240"/>
      </w:pPr>
      <w:r>
        <w:t>Design education that values individual experiences and perspectives, is inclusive and bias-free, and is accessible to all learners. Ensure patient cases and images protect patient privacy and avoid stereotypes or unsupported biological assumptions.</w:t>
      </w:r>
    </w:p>
    <w:p w14:paraId="691C3112" w14:textId="13715245" w:rsidR="00167C6A" w:rsidRDefault="1653D51A" w:rsidP="1B62D7D4">
      <w:pPr>
        <w:spacing w:after="240"/>
      </w:pPr>
      <w:r>
        <w:t>Resources:</w:t>
      </w:r>
      <w:r w:rsidR="5C309E14">
        <w:t xml:space="preserve"> The Office of CME provides two resources (1) Guideline: Addressing Health Equity and Collaborative Learning in Continuing Medical Education (CME) and (2) </w:t>
      </w:r>
      <w:r w:rsidR="025740DF">
        <w:t>Speaker Guidelines</w:t>
      </w:r>
      <w:r w:rsidR="5C309E14">
        <w:t>, </w:t>
      </w:r>
      <w:r w:rsidR="0251B87A">
        <w:t xml:space="preserve">both </w:t>
      </w:r>
      <w:r w:rsidR="5C309E14">
        <w:t>available </w:t>
      </w:r>
      <w:hyperlink r:id="rId15">
        <w:r w:rsidR="037A3567" w:rsidRPr="1B62D7D4">
          <w:rPr>
            <w:rStyle w:val="Hyperlink"/>
          </w:rPr>
          <w:t>here</w:t>
        </w:r>
      </w:hyperlink>
      <w:r w:rsidR="037A3567">
        <w:t>.</w:t>
      </w:r>
    </w:p>
    <w:p w14:paraId="7A20ED53" w14:textId="0B6A8478" w:rsidR="00EA6484" w:rsidRDefault="5900C43B" w:rsidP="1B62D7D4">
      <w:pPr>
        <w:pStyle w:val="Heading1"/>
        <w:spacing w:after="240"/>
      </w:pPr>
      <w:bookmarkStart w:id="81" w:name="_Toc73493798"/>
      <w:bookmarkStart w:id="82" w:name="_Toc2028661906"/>
      <w:bookmarkStart w:id="83" w:name="_Toc238829265"/>
      <w:r>
        <w:t>9</w:t>
      </w:r>
      <w:r w:rsidR="2081AFD7">
        <w:t>. Funding and Budgeting</w:t>
      </w:r>
      <w:bookmarkEnd w:id="81"/>
      <w:bookmarkEnd w:id="82"/>
      <w:bookmarkEnd w:id="83"/>
    </w:p>
    <w:p w14:paraId="5C3D7D84" w14:textId="2FAE7897" w:rsidR="00EA6484" w:rsidRDefault="1653D51A" w:rsidP="1B62D7D4">
      <w:pPr>
        <w:spacing w:after="240"/>
      </w:pPr>
      <w:r>
        <w:t>The sponsoring department/division is responsible for all costs associated with the CME activity. Costs may be offset by departmental funds, registration fees, philanthropy, society partnerships, advertising/exhibits, and</w:t>
      </w:r>
      <w:r w:rsidR="5C309E14">
        <w:t xml:space="preserve"> </w:t>
      </w:r>
      <w:r>
        <w:t>educational grants or in-kind support.</w:t>
      </w:r>
    </w:p>
    <w:p w14:paraId="3E050E3D" w14:textId="2ECB48D7" w:rsidR="00EA6484" w:rsidRDefault="1653D51A" w:rsidP="1B62D7D4">
      <w:pPr>
        <w:spacing w:after="240"/>
      </w:pPr>
      <w:r>
        <w:t>ACCME Funding Playbook:</w:t>
      </w:r>
      <w:r w:rsidR="1B7CB84C">
        <w:t xml:space="preserve"> </w:t>
      </w:r>
      <w:hyperlink r:id="rId16">
        <w:r w:rsidRPr="1B62D7D4">
          <w:rPr>
            <w:color w:val="0563C1"/>
            <w:u w:val="single"/>
          </w:rPr>
          <w:t>Funding Playbook PDF</w:t>
        </w:r>
      </w:hyperlink>
    </w:p>
    <w:p w14:paraId="63001978" w14:textId="044B1B9A" w:rsidR="00EA6484" w:rsidRDefault="3CBBC085" w:rsidP="1B62D7D4">
      <w:pPr>
        <w:pStyle w:val="Heading1"/>
        <w:spacing w:after="240"/>
      </w:pPr>
      <w:bookmarkStart w:id="84" w:name="_Toc765899444"/>
      <w:bookmarkStart w:id="85" w:name="_Toc1572666305"/>
      <w:bookmarkStart w:id="86" w:name="_Toc238829266"/>
      <w:r>
        <w:t>10</w:t>
      </w:r>
      <w:r w:rsidR="2081AFD7">
        <w:t>. Roles and Responsibilities</w:t>
      </w:r>
      <w:bookmarkEnd w:id="84"/>
      <w:bookmarkEnd w:id="85"/>
      <w:bookmarkEnd w:id="86"/>
    </w:p>
    <w:p w14:paraId="15DDEC3C" w14:textId="07C4C633" w:rsidR="00EA6484" w:rsidRDefault="55ACC65A" w:rsidP="1B62D7D4">
      <w:pPr>
        <w:pStyle w:val="Heading2"/>
        <w:spacing w:after="240"/>
      </w:pPr>
      <w:bookmarkStart w:id="87" w:name="_Toc386355633"/>
      <w:bookmarkStart w:id="88" w:name="_Toc1517213970"/>
      <w:bookmarkStart w:id="89" w:name="_Toc238829267"/>
      <w:r>
        <w:t>10</w:t>
      </w:r>
      <w:r w:rsidR="2081AFD7">
        <w:t>.1 Course Director(s)</w:t>
      </w:r>
      <w:bookmarkEnd w:id="87"/>
      <w:bookmarkEnd w:id="88"/>
      <w:bookmarkEnd w:id="89"/>
    </w:p>
    <w:p w14:paraId="7DBC72E4" w14:textId="77777777" w:rsidR="00EA6484" w:rsidRDefault="1653D51A" w:rsidP="1B62D7D4">
      <w:pPr>
        <w:pStyle w:val="ListBullet"/>
        <w:spacing w:after="240"/>
      </w:pPr>
      <w:r>
        <w:t>Must include at least one FSM faculty member or affiliate clinician who is accountable for educational integrity, independence, and fiscal oversight.</w:t>
      </w:r>
    </w:p>
    <w:p w14:paraId="41907E67" w14:textId="77777777" w:rsidR="00EA6484" w:rsidRDefault="1653D51A" w:rsidP="1B62D7D4">
      <w:pPr>
        <w:pStyle w:val="ListBullet"/>
        <w:spacing w:after="240"/>
      </w:pPr>
      <w:r>
        <w:t>Ensures content validity, addresses the identified practice gap(s), and remains free of commercial influence.</w:t>
      </w:r>
    </w:p>
    <w:p w14:paraId="5F4E0CB5" w14:textId="77777777" w:rsidR="00EA6484" w:rsidRDefault="1653D51A" w:rsidP="1B62D7D4">
      <w:pPr>
        <w:pStyle w:val="ListBullet"/>
        <w:spacing w:after="240"/>
      </w:pPr>
      <w:r>
        <w:t>Participates in review of disclosures and mitigation strategies, including peer review of content when required.</w:t>
      </w:r>
    </w:p>
    <w:p w14:paraId="504A6D0B" w14:textId="77777777" w:rsidR="00EA6484" w:rsidRDefault="1653D51A" w:rsidP="1B62D7D4">
      <w:pPr>
        <w:pStyle w:val="ListBullet"/>
        <w:spacing w:after="240"/>
      </w:pPr>
      <w:r>
        <w:t>Reviews promotional materials for accuracy and compliance.</w:t>
      </w:r>
    </w:p>
    <w:p w14:paraId="52463169" w14:textId="77777777" w:rsidR="00EA6484" w:rsidRDefault="1653D51A" w:rsidP="1B62D7D4">
      <w:pPr>
        <w:pStyle w:val="ListBullet"/>
        <w:spacing w:after="240"/>
      </w:pPr>
      <w:r>
        <w:t>Reviews evaluation results and supports outcomes improvement.</w:t>
      </w:r>
    </w:p>
    <w:p w14:paraId="69E270FE" w14:textId="567F1324" w:rsidR="00EA6484" w:rsidRDefault="35DB768C" w:rsidP="1B62D7D4">
      <w:pPr>
        <w:pStyle w:val="Heading2"/>
        <w:spacing w:after="240"/>
      </w:pPr>
      <w:bookmarkStart w:id="90" w:name="_Toc256738433"/>
      <w:bookmarkStart w:id="91" w:name="_Toc54259706"/>
      <w:bookmarkStart w:id="92" w:name="_Toc238829268"/>
      <w:r>
        <w:lastRenderedPageBreak/>
        <w:t>10</w:t>
      </w:r>
      <w:r w:rsidR="2081AFD7">
        <w:t>.2 Planning Committee (if applicable)</w:t>
      </w:r>
      <w:bookmarkEnd w:id="90"/>
      <w:bookmarkEnd w:id="91"/>
      <w:bookmarkEnd w:id="92"/>
    </w:p>
    <w:p w14:paraId="2F15B709" w14:textId="77777777" w:rsidR="00EA6484" w:rsidRDefault="1653D51A" w:rsidP="1B62D7D4">
      <w:pPr>
        <w:pStyle w:val="ListBullet"/>
        <w:spacing w:after="240"/>
      </w:pPr>
      <w:r>
        <w:t xml:space="preserve">Assists with needs assessment, </w:t>
      </w:r>
      <w:proofErr w:type="gramStart"/>
      <w:r>
        <w:t>gap</w:t>
      </w:r>
      <w:proofErr w:type="gramEnd"/>
      <w:r>
        <w:t>, objectives, faculty selection, and educational design.</w:t>
      </w:r>
    </w:p>
    <w:p w14:paraId="6F1BAA49" w14:textId="77777777" w:rsidR="00EA6484" w:rsidRDefault="1653D51A" w:rsidP="1B62D7D4">
      <w:pPr>
        <w:pStyle w:val="ListBullet"/>
        <w:spacing w:after="240"/>
      </w:pPr>
      <w:r>
        <w:t>Completes disclosures and participates in mitigation processes as required.</w:t>
      </w:r>
    </w:p>
    <w:p w14:paraId="1360A071" w14:textId="77777777" w:rsidR="00EA6484" w:rsidRDefault="1653D51A" w:rsidP="1B62D7D4">
      <w:pPr>
        <w:pStyle w:val="ListBullet"/>
        <w:spacing w:after="240"/>
      </w:pPr>
      <w:r>
        <w:t>Supports peer review of planning decisions and/or content when assigned.</w:t>
      </w:r>
    </w:p>
    <w:p w14:paraId="7CF7D482" w14:textId="30B8F855" w:rsidR="00EA6484" w:rsidRDefault="57BD90CD" w:rsidP="1B62D7D4">
      <w:pPr>
        <w:pStyle w:val="Heading2"/>
        <w:spacing w:after="240"/>
      </w:pPr>
      <w:bookmarkStart w:id="93" w:name="_Toc343242341"/>
      <w:bookmarkStart w:id="94" w:name="_Toc725679111"/>
      <w:bookmarkStart w:id="95" w:name="_Toc238829269"/>
      <w:r>
        <w:t>10</w:t>
      </w:r>
      <w:r w:rsidR="2081AFD7">
        <w:t>.3 Course Coordinator(s)</w:t>
      </w:r>
      <w:bookmarkEnd w:id="93"/>
      <w:bookmarkEnd w:id="94"/>
      <w:bookmarkEnd w:id="95"/>
    </w:p>
    <w:p w14:paraId="4AA067AD" w14:textId="77777777" w:rsidR="00EA6484" w:rsidRDefault="1653D51A" w:rsidP="1B62D7D4">
      <w:pPr>
        <w:pStyle w:val="ListBullet"/>
        <w:spacing w:after="240"/>
      </w:pPr>
      <w:r>
        <w:t>Coordinates application completion and submission; maintains deadlines and documentation.</w:t>
      </w:r>
    </w:p>
    <w:p w14:paraId="06B639C8" w14:textId="77777777" w:rsidR="00EA6484" w:rsidRDefault="1653D51A" w:rsidP="1B62D7D4">
      <w:pPr>
        <w:pStyle w:val="ListBullet"/>
        <w:spacing w:after="240"/>
      </w:pPr>
      <w:r>
        <w:t xml:space="preserve">Ensures disclosures and validation forms are completed for all </w:t>
      </w:r>
      <w:proofErr w:type="gramStart"/>
      <w:r>
        <w:t>persons</w:t>
      </w:r>
      <w:proofErr w:type="gramEnd"/>
      <w:r>
        <w:t xml:space="preserve"> in control of content.</w:t>
      </w:r>
    </w:p>
    <w:p w14:paraId="17D370A5" w14:textId="77777777" w:rsidR="00EA6484" w:rsidRDefault="1653D51A" w:rsidP="1B62D7D4">
      <w:pPr>
        <w:pStyle w:val="ListBullet"/>
        <w:spacing w:after="240"/>
      </w:pPr>
      <w:r>
        <w:t>Flags ownership/employment in ineligible companies immediately to the Office of CME.</w:t>
      </w:r>
    </w:p>
    <w:p w14:paraId="25952C41" w14:textId="77777777" w:rsidR="00EA6484" w:rsidRDefault="1653D51A" w:rsidP="1B62D7D4">
      <w:pPr>
        <w:pStyle w:val="ListBullet"/>
        <w:spacing w:after="240"/>
      </w:pPr>
      <w:r>
        <w:t xml:space="preserve">Submits marketing materials for review (when </w:t>
      </w:r>
      <w:bookmarkStart w:id="96" w:name="_Int_rmt4NLZv"/>
      <w:r>
        <w:t>applicable).</w:t>
      </w:r>
      <w:bookmarkEnd w:id="96"/>
    </w:p>
    <w:p w14:paraId="66CF89EF" w14:textId="01A88854" w:rsidR="00EA6484" w:rsidRDefault="0C127CAD" w:rsidP="1B62D7D4">
      <w:pPr>
        <w:pStyle w:val="ListBullet"/>
        <w:spacing w:after="240"/>
      </w:pPr>
      <w:r>
        <w:t>Communicates presentation expectations with faculty, c</w:t>
      </w:r>
      <w:r w:rsidR="1653D51A">
        <w:t>ollects slides for review</w:t>
      </w:r>
      <w:r>
        <w:t>,</w:t>
      </w:r>
      <w:r w:rsidR="1653D51A">
        <w:t xml:space="preserve"> and ensures timely peer review.</w:t>
      </w:r>
    </w:p>
    <w:p w14:paraId="677A1D5B" w14:textId="1B7A14F5" w:rsidR="00593A56" w:rsidRDefault="0C127CAD" w:rsidP="1B62D7D4">
      <w:pPr>
        <w:pStyle w:val="ListBullet"/>
        <w:spacing w:after="240"/>
      </w:pPr>
      <w:r>
        <w:t xml:space="preserve">Ensures onsite advertising/marketing/exhibitors by ineligible </w:t>
      </w:r>
      <w:bookmarkStart w:id="97" w:name="_Int_aAvTATXz"/>
      <w:r>
        <w:t>companies</w:t>
      </w:r>
      <w:bookmarkEnd w:id="97"/>
      <w:r>
        <w:t xml:space="preserve"> do not interfere with education. </w:t>
      </w:r>
    </w:p>
    <w:p w14:paraId="42EB8B3D" w14:textId="77777777" w:rsidR="00EA6484" w:rsidRDefault="1653D51A" w:rsidP="1B62D7D4">
      <w:pPr>
        <w:pStyle w:val="ListBullet"/>
        <w:spacing w:after="240"/>
      </w:pPr>
      <w:r>
        <w:t>Maintains the activity budget and required spreadsheets and submits post-activity close-out documentation.</w:t>
      </w:r>
    </w:p>
    <w:p w14:paraId="61496ED6" w14:textId="25D626D5" w:rsidR="00EA6484" w:rsidRDefault="45D41586" w:rsidP="1B62D7D4">
      <w:pPr>
        <w:pStyle w:val="Heading2"/>
        <w:spacing w:after="240"/>
      </w:pPr>
      <w:bookmarkStart w:id="98" w:name="_Toc1231334717"/>
      <w:bookmarkStart w:id="99" w:name="_Toc581559117"/>
      <w:bookmarkStart w:id="100" w:name="_Toc238829270"/>
      <w:r>
        <w:t>10</w:t>
      </w:r>
      <w:r w:rsidR="2081AFD7">
        <w:t>.4 Faculty (Speakers, Moderators, Panelists, Authors)</w:t>
      </w:r>
      <w:bookmarkEnd w:id="98"/>
      <w:bookmarkEnd w:id="99"/>
      <w:bookmarkEnd w:id="100"/>
    </w:p>
    <w:p w14:paraId="592DF31D" w14:textId="77777777" w:rsidR="00EA6484" w:rsidRDefault="1653D51A" w:rsidP="1B62D7D4">
      <w:pPr>
        <w:pStyle w:val="ListBullet"/>
        <w:spacing w:after="240"/>
      </w:pPr>
      <w:r>
        <w:t>Complete the online disclosure form prior to involvement in the activity.</w:t>
      </w:r>
    </w:p>
    <w:p w14:paraId="52D4848A" w14:textId="77777777" w:rsidR="00EA6484" w:rsidRDefault="1653D51A" w:rsidP="1B62D7D4">
      <w:pPr>
        <w:pStyle w:val="ListBullet"/>
        <w:spacing w:after="240"/>
      </w:pPr>
      <w:r>
        <w:t>Provide fair and balanced, evidence-based education; clearly label emerging/controversial content as such.</w:t>
      </w:r>
    </w:p>
    <w:p w14:paraId="3DED7647" w14:textId="77777777" w:rsidR="00EA6484" w:rsidRDefault="1653D51A" w:rsidP="1B62D7D4">
      <w:pPr>
        <w:pStyle w:val="ListBullet"/>
        <w:spacing w:after="240"/>
      </w:pPr>
      <w:r>
        <w:t>Do not include marketing, product logos, or promotional messaging in educational materials.</w:t>
      </w:r>
    </w:p>
    <w:p w14:paraId="59DF5AF5" w14:textId="77777777" w:rsidR="00EA6484" w:rsidRDefault="1653D51A" w:rsidP="1B62D7D4">
      <w:pPr>
        <w:pStyle w:val="ListBullet"/>
        <w:spacing w:after="240"/>
      </w:pPr>
      <w:r>
        <w:t xml:space="preserve">Submit slides by the coordinator’s deadline to allow review </w:t>
      </w:r>
      <w:bookmarkStart w:id="101" w:name="_Int_8HmL1QC4"/>
      <w:r>
        <w:t>and required</w:t>
      </w:r>
      <w:bookmarkEnd w:id="101"/>
      <w:r>
        <w:t xml:space="preserve"> validation.</w:t>
      </w:r>
    </w:p>
    <w:p w14:paraId="68B148AF" w14:textId="77777777" w:rsidR="00EA6484" w:rsidRDefault="1653D51A" w:rsidP="1B62D7D4">
      <w:pPr>
        <w:pStyle w:val="ListBullet"/>
        <w:spacing w:after="240"/>
      </w:pPr>
      <w:r>
        <w:t>Update disclosures if financial relationships change and notify the coordinator.</w:t>
      </w:r>
    </w:p>
    <w:p w14:paraId="743E600D" w14:textId="3582C868" w:rsidR="00EA6484" w:rsidRDefault="1653D51A" w:rsidP="1B62D7D4">
      <w:pPr>
        <w:spacing w:after="240"/>
      </w:pPr>
      <w:r>
        <w:t>Speaker guidance:</w:t>
      </w:r>
      <w:r w:rsidR="0C127CAD">
        <w:t xml:space="preserve"> </w:t>
      </w:r>
      <w:hyperlink r:id="rId17" w:history="1">
        <w:r w:rsidRPr="1B62D7D4">
          <w:rPr>
            <w:color w:val="0563C1"/>
            <w:u w:val="single"/>
          </w:rPr>
          <w:t>CME Speaker Guidelines (docx)</w:t>
        </w:r>
      </w:hyperlink>
    </w:p>
    <w:p w14:paraId="17F7C3F1" w14:textId="612CB36D" w:rsidR="00EA6484" w:rsidRDefault="2081AFD7" w:rsidP="1B62D7D4">
      <w:pPr>
        <w:pStyle w:val="Heading1"/>
        <w:spacing w:after="240"/>
      </w:pPr>
      <w:bookmarkStart w:id="102" w:name="_Toc322407705"/>
      <w:bookmarkStart w:id="103" w:name="_Toc505691361"/>
      <w:bookmarkStart w:id="104" w:name="_Toc238829271"/>
      <w:r>
        <w:t>1</w:t>
      </w:r>
      <w:r w:rsidR="1286FB44">
        <w:t>1</w:t>
      </w:r>
      <w:r>
        <w:t>. CME Application and Approval Process</w:t>
      </w:r>
      <w:bookmarkEnd w:id="102"/>
      <w:bookmarkEnd w:id="103"/>
      <w:bookmarkEnd w:id="104"/>
    </w:p>
    <w:p w14:paraId="1724B9B6" w14:textId="77777777" w:rsidR="00EA6484" w:rsidRDefault="1653D51A" w:rsidP="1B62D7D4">
      <w:pPr>
        <w:spacing w:after="240"/>
      </w:pPr>
      <w:r>
        <w:t>Applications are reviewed by the FSM CME Application Review Committee, which meets monthly. Submit applications well in advance, and at least three months prior to the activity start date. Large activities (multi-day, many speakers, or requesting commercial support) should be submitted at least six months in advance.</w:t>
      </w:r>
    </w:p>
    <w:p w14:paraId="76F547B1" w14:textId="2A3FA31F" w:rsidR="00EA6484" w:rsidRDefault="1653D51A" w:rsidP="1B62D7D4">
      <w:pPr>
        <w:spacing w:after="240"/>
      </w:pPr>
      <w:r>
        <w:t>CME application portal:</w:t>
      </w:r>
      <w:r w:rsidR="207430EA">
        <w:t xml:space="preserve"> </w:t>
      </w:r>
      <w:hyperlink r:id="rId18">
        <w:r w:rsidRPr="1B62D7D4">
          <w:rPr>
            <w:color w:val="0563C1"/>
            <w:u w:val="single"/>
          </w:rPr>
          <w:t>northwestern.cloud-cme.com</w:t>
        </w:r>
      </w:hyperlink>
    </w:p>
    <w:p w14:paraId="7430789D" w14:textId="77AD1449" w:rsidR="00593A56" w:rsidRDefault="0C127CAD" w:rsidP="1B62D7D4">
      <w:pPr>
        <w:spacing w:after="240"/>
      </w:pPr>
      <w:r>
        <w:t>CME Application Review Committee meetings and deadlines: CME Timetable available</w:t>
      </w:r>
      <w:hyperlink r:id="rId19">
        <w:r w:rsidRPr="1B62D7D4">
          <w:rPr>
            <w:rStyle w:val="Hyperlink"/>
          </w:rPr>
          <w:t> here </w:t>
        </w:r>
      </w:hyperlink>
    </w:p>
    <w:p w14:paraId="3ACC4391" w14:textId="705AA5F5" w:rsidR="00EA6484" w:rsidRDefault="2081AFD7" w:rsidP="1B62D7D4">
      <w:pPr>
        <w:pStyle w:val="Heading2"/>
        <w:spacing w:after="240"/>
      </w:pPr>
      <w:bookmarkStart w:id="105" w:name="_Toc891814544"/>
      <w:bookmarkStart w:id="106" w:name="_Toc469729649"/>
      <w:bookmarkStart w:id="107" w:name="_Toc238829272"/>
      <w:r>
        <w:lastRenderedPageBreak/>
        <w:t>1</w:t>
      </w:r>
      <w:r w:rsidR="2232D914">
        <w:t>1</w:t>
      </w:r>
      <w:r>
        <w:t>.1 Applications will not be reviewed if:</w:t>
      </w:r>
      <w:bookmarkEnd w:id="105"/>
      <w:bookmarkEnd w:id="106"/>
      <w:bookmarkEnd w:id="107"/>
    </w:p>
    <w:p w14:paraId="4948EBAA" w14:textId="77777777" w:rsidR="00EA6484" w:rsidRDefault="1653D51A" w:rsidP="1B62D7D4">
      <w:pPr>
        <w:pStyle w:val="ListBullet"/>
        <w:spacing w:after="240"/>
      </w:pPr>
      <w:r>
        <w:t>Disclosures for course directors/planners are incomplete.</w:t>
      </w:r>
    </w:p>
    <w:p w14:paraId="0D85B85F" w14:textId="77777777" w:rsidR="00EA6484" w:rsidRDefault="1653D51A" w:rsidP="1B62D7D4">
      <w:pPr>
        <w:pStyle w:val="ListBullet"/>
        <w:spacing w:after="240"/>
      </w:pPr>
      <w:r>
        <w:t>Promotional materials (other than a save-the-date) have been distributed prior to approval.</w:t>
      </w:r>
    </w:p>
    <w:p w14:paraId="5DFEBF4B" w14:textId="77777777" w:rsidR="00EA6484" w:rsidRDefault="1653D51A" w:rsidP="1B62D7D4">
      <w:pPr>
        <w:pStyle w:val="ListBullet"/>
        <w:spacing w:after="240"/>
      </w:pPr>
      <w:r>
        <w:t>Commercial support has been received prior to approval.</w:t>
      </w:r>
    </w:p>
    <w:p w14:paraId="5F808A35" w14:textId="4B85F3DC" w:rsidR="00593A56" w:rsidRDefault="1653D51A" w:rsidP="1B62D7D4">
      <w:pPr>
        <w:pStyle w:val="ListBullet"/>
        <w:spacing w:after="240"/>
      </w:pPr>
      <w:r>
        <w:t>Required supporting documentation is missing.</w:t>
      </w:r>
    </w:p>
    <w:p w14:paraId="431D5CE5" w14:textId="77777777" w:rsidR="001F4196" w:rsidRDefault="001F4196" w:rsidP="1B62D7D4">
      <w:pPr>
        <w:pStyle w:val="ListBullet"/>
        <w:numPr>
          <w:ilvl w:val="0"/>
          <w:numId w:val="0"/>
        </w:numPr>
        <w:spacing w:after="240"/>
        <w:ind w:left="360"/>
      </w:pPr>
    </w:p>
    <w:p w14:paraId="0AE57B63" w14:textId="48951A1E" w:rsidR="00F96F18" w:rsidRDefault="0C127CAD" w:rsidP="1B62D7D4">
      <w:pPr>
        <w:pStyle w:val="ListBullet"/>
        <w:numPr>
          <w:ilvl w:val="0"/>
          <w:numId w:val="0"/>
        </w:numPr>
        <w:spacing w:after="240"/>
      </w:pPr>
      <w:r>
        <w:t>Any activity seeking CME credit submitted less than three months in advance requires permission from the CME Director and CME Medical Director.  </w:t>
      </w:r>
    </w:p>
    <w:p w14:paraId="57CDBEF8" w14:textId="78B5047E" w:rsidR="00F96F18" w:rsidRDefault="090AF838" w:rsidP="1B62D7D4">
      <w:pPr>
        <w:pStyle w:val="Heading2"/>
        <w:spacing w:after="240"/>
      </w:pPr>
      <w:bookmarkStart w:id="108" w:name="_Toc39777695"/>
      <w:bookmarkStart w:id="109" w:name="_Toc160648434"/>
      <w:bookmarkStart w:id="110" w:name="_Toc238829273"/>
      <w:r>
        <w:t>1</w:t>
      </w:r>
      <w:r w:rsidR="7790AABF">
        <w:t>1</w:t>
      </w:r>
      <w:r>
        <w:t>.2 Application completion:</w:t>
      </w:r>
      <w:bookmarkEnd w:id="108"/>
      <w:bookmarkEnd w:id="109"/>
      <w:bookmarkEnd w:id="110"/>
    </w:p>
    <w:p w14:paraId="13EEAAD4" w14:textId="141B205D" w:rsidR="00F96F18" w:rsidRPr="00F96F18" w:rsidRDefault="7FBDF426" w:rsidP="1B62D7D4">
      <w:pPr>
        <w:pStyle w:val="paragraph"/>
        <w:numPr>
          <w:ilvl w:val="0"/>
          <w:numId w:val="45"/>
        </w:numPr>
        <w:spacing w:before="0" w:beforeAutospacing="0" w:after="240" w:afterAutospacing="0"/>
        <w:textAlignment w:val="baseline"/>
        <w:rPr>
          <w:rFonts w:ascii="Calibri" w:hAnsi="Calibri" w:cs="Calibri"/>
          <w:b/>
          <w:bCs/>
          <w:sz w:val="22"/>
          <w:szCs w:val="22"/>
        </w:rPr>
      </w:pPr>
      <w:r w:rsidRPr="1B62D7D4">
        <w:rPr>
          <w:rStyle w:val="normaltextrun"/>
          <w:rFonts w:ascii="Calibri" w:hAnsi="Calibri" w:cs="Calibri"/>
          <w:b/>
          <w:bCs/>
          <w:sz w:val="22"/>
          <w:szCs w:val="22"/>
        </w:rPr>
        <w:t xml:space="preserve">Application (available </w:t>
      </w:r>
      <w:hyperlink r:id="rId20">
        <w:r w:rsidRPr="1B62D7D4">
          <w:rPr>
            <w:rStyle w:val="normaltextrun"/>
            <w:rFonts w:ascii="Calibri" w:hAnsi="Calibri" w:cs="Calibri"/>
            <w:b/>
            <w:bCs/>
            <w:color w:val="0000FF"/>
            <w:sz w:val="22"/>
            <w:szCs w:val="22"/>
            <w:u w:val="single"/>
          </w:rPr>
          <w:t>here</w:t>
        </w:r>
      </w:hyperlink>
      <w:r w:rsidRPr="1B62D7D4">
        <w:rPr>
          <w:rFonts w:ascii="Calibri" w:hAnsi="Calibri" w:cs="Calibri"/>
          <w:b/>
          <w:bCs/>
          <w:sz w:val="22"/>
          <w:szCs w:val="22"/>
        </w:rPr>
        <w:t>)</w:t>
      </w:r>
      <w:r w:rsidRPr="1B62D7D4">
        <w:rPr>
          <w:rStyle w:val="normaltextrun"/>
          <w:rFonts w:ascii="Calibri" w:hAnsi="Calibri" w:cs="Calibri"/>
          <w:b/>
          <w:bCs/>
          <w:sz w:val="22"/>
          <w:szCs w:val="22"/>
        </w:rPr>
        <w:t> </w:t>
      </w:r>
      <w:r w:rsidRPr="1B62D7D4">
        <w:rPr>
          <w:rStyle w:val="eop"/>
          <w:rFonts w:ascii="Calibri" w:hAnsi="Calibri" w:cs="Calibri"/>
          <w:b/>
          <w:bCs/>
          <w:sz w:val="22"/>
          <w:szCs w:val="22"/>
        </w:rPr>
        <w:t> </w:t>
      </w:r>
    </w:p>
    <w:p w14:paraId="461C5517" w14:textId="4B9743D8" w:rsidR="00F96F18" w:rsidRPr="00F96F18" w:rsidRDefault="7FBDF426" w:rsidP="1B62D7D4">
      <w:pPr>
        <w:pStyle w:val="paragraph"/>
        <w:numPr>
          <w:ilvl w:val="0"/>
          <w:numId w:val="69"/>
        </w:numPr>
        <w:spacing w:before="0" w:beforeAutospacing="0" w:after="240" w:afterAutospacing="0"/>
        <w:rPr>
          <w:rFonts w:ascii="Calibri" w:hAnsi="Calibri" w:cs="Calibri"/>
          <w:sz w:val="22"/>
          <w:szCs w:val="22"/>
        </w:rPr>
      </w:pPr>
      <w:r w:rsidRPr="1B62D7D4">
        <w:rPr>
          <w:rStyle w:val="normaltextrun"/>
          <w:rFonts w:ascii="Calibri" w:hAnsi="Calibri" w:cs="Calibri"/>
          <w:sz w:val="22"/>
          <w:szCs w:val="22"/>
        </w:rPr>
        <w:t xml:space="preserve">Select “CME </w:t>
      </w:r>
      <w:r w:rsidR="7D2CD5F8" w:rsidRPr="1B62D7D4">
        <w:rPr>
          <w:rStyle w:val="normaltextrun"/>
          <w:rFonts w:ascii="Calibri" w:hAnsi="Calibri" w:cs="Calibri"/>
          <w:sz w:val="22"/>
          <w:szCs w:val="22"/>
        </w:rPr>
        <w:t>Activity Planning &amp; Application</w:t>
      </w:r>
      <w:r w:rsidRPr="1B62D7D4">
        <w:rPr>
          <w:rStyle w:val="normaltextrun"/>
          <w:rFonts w:ascii="Calibri" w:hAnsi="Calibri" w:cs="Calibri"/>
          <w:sz w:val="22"/>
          <w:szCs w:val="22"/>
        </w:rPr>
        <w:t>” located </w:t>
      </w:r>
      <w:r w:rsidR="0579813C" w:rsidRPr="1B62D7D4">
        <w:rPr>
          <w:rStyle w:val="normaltextrun"/>
          <w:rFonts w:ascii="Calibri" w:hAnsi="Calibri" w:cs="Calibri"/>
          <w:sz w:val="22"/>
          <w:szCs w:val="22"/>
        </w:rPr>
        <w:t xml:space="preserve">under the Plan Tab </w:t>
      </w:r>
      <w:r w:rsidR="570F7D76" w:rsidRPr="1B62D7D4">
        <w:rPr>
          <w:rStyle w:val="normaltextrun"/>
          <w:rFonts w:ascii="Calibri" w:hAnsi="Calibri" w:cs="Calibri"/>
          <w:sz w:val="22"/>
          <w:szCs w:val="22"/>
        </w:rPr>
        <w:t xml:space="preserve">then </w:t>
      </w:r>
      <w:r w:rsidR="01F0FDDC" w:rsidRPr="1B62D7D4">
        <w:rPr>
          <w:rStyle w:val="normaltextrun"/>
          <w:rFonts w:ascii="Calibri" w:hAnsi="Calibri" w:cs="Calibri"/>
          <w:sz w:val="22"/>
          <w:szCs w:val="22"/>
        </w:rPr>
        <w:t>Click here to access the CME application</w:t>
      </w:r>
      <w:r w:rsidRPr="1B62D7D4">
        <w:rPr>
          <w:rStyle w:val="normaltextrun"/>
          <w:rFonts w:ascii="Calibri" w:hAnsi="Calibri" w:cs="Calibri"/>
          <w:sz w:val="22"/>
          <w:szCs w:val="22"/>
        </w:rPr>
        <w:t>. You will be asked to log in.</w:t>
      </w:r>
      <w:r w:rsidRPr="1B62D7D4">
        <w:rPr>
          <w:rStyle w:val="eop"/>
          <w:rFonts w:ascii="Calibri" w:hAnsi="Calibri" w:cs="Calibri"/>
          <w:sz w:val="22"/>
          <w:szCs w:val="22"/>
        </w:rPr>
        <w:t> </w:t>
      </w:r>
    </w:p>
    <w:p w14:paraId="47F93789" w14:textId="77777777" w:rsidR="00F96F18" w:rsidRPr="00F96F18" w:rsidRDefault="7FBDF426" w:rsidP="1B62D7D4">
      <w:pPr>
        <w:pStyle w:val="paragraph"/>
        <w:numPr>
          <w:ilvl w:val="0"/>
          <w:numId w:val="69"/>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Select “Create New Application.” </w:t>
      </w:r>
      <w:r w:rsidRPr="1B62D7D4">
        <w:rPr>
          <w:rStyle w:val="eop"/>
          <w:rFonts w:ascii="Calibri" w:hAnsi="Calibri" w:cs="Calibri"/>
          <w:sz w:val="22"/>
          <w:szCs w:val="22"/>
        </w:rPr>
        <w:t> </w:t>
      </w:r>
    </w:p>
    <w:p w14:paraId="3ED456FD" w14:textId="77777777" w:rsidR="00F96F18" w:rsidRPr="00F96F18" w:rsidRDefault="7FBDF426" w:rsidP="1B62D7D4">
      <w:pPr>
        <w:pStyle w:val="paragraph"/>
        <w:numPr>
          <w:ilvl w:val="0"/>
          <w:numId w:val="69"/>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You may close the application and return to make edits if you complete all required (red boxed) questions before saving or continuing to the next section.  </w:t>
      </w:r>
      <w:r w:rsidRPr="1B62D7D4">
        <w:rPr>
          <w:rStyle w:val="eop"/>
          <w:rFonts w:ascii="Calibri" w:hAnsi="Calibri" w:cs="Calibri"/>
          <w:sz w:val="22"/>
          <w:szCs w:val="22"/>
        </w:rPr>
        <w:t> </w:t>
      </w:r>
    </w:p>
    <w:p w14:paraId="731A080A" w14:textId="77777777" w:rsidR="00F96F18" w:rsidRPr="00F96F18" w:rsidRDefault="7FBDF426" w:rsidP="1B62D7D4">
      <w:pPr>
        <w:pStyle w:val="paragraph"/>
        <w:numPr>
          <w:ilvl w:val="0"/>
          <w:numId w:val="69"/>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Select “Save and Continue” at the end of each section to proceed to the next section. </w:t>
      </w:r>
      <w:r w:rsidRPr="1B62D7D4">
        <w:rPr>
          <w:rStyle w:val="eop"/>
          <w:rFonts w:ascii="Calibri" w:hAnsi="Calibri" w:cs="Calibri"/>
          <w:sz w:val="22"/>
          <w:szCs w:val="22"/>
        </w:rPr>
        <w:t> </w:t>
      </w:r>
    </w:p>
    <w:p w14:paraId="48B3698F" w14:textId="452CFA3E" w:rsidR="00F96F18" w:rsidRPr="00F96F18" w:rsidRDefault="7FBDF426" w:rsidP="1B62D7D4">
      <w:pPr>
        <w:pStyle w:val="paragraph"/>
        <w:numPr>
          <w:ilvl w:val="0"/>
          <w:numId w:val="69"/>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Helpful resources for completing the application are available</w:t>
      </w:r>
      <w:hyperlink r:id="rId21">
        <w:r w:rsidRPr="1B62D7D4">
          <w:rPr>
            <w:rStyle w:val="Hyperlink"/>
          </w:rPr>
          <w:t> </w:t>
        </w:r>
        <w:r w:rsidRPr="00B41A66">
          <w:rPr>
            <w:rStyle w:val="Hyperlink"/>
          </w:rPr>
          <w:t>here.</w:t>
        </w:r>
        <w:r w:rsidRPr="1B62D7D4">
          <w:rPr>
            <w:rStyle w:val="Hyperlink"/>
          </w:rPr>
          <w:t> </w:t>
        </w:r>
      </w:hyperlink>
    </w:p>
    <w:p w14:paraId="25E56B97" w14:textId="77777777" w:rsidR="00F96F18" w:rsidRPr="00F96F18" w:rsidRDefault="7FBDF426" w:rsidP="1B62D7D4">
      <w:pPr>
        <w:pStyle w:val="paragraph"/>
        <w:numPr>
          <w:ilvl w:val="0"/>
          <w:numId w:val="69"/>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Once finished, select “Submit to Review.” The system will not permit submission of the application until all planners have a current </w:t>
      </w:r>
      <w:hyperlink r:id="rId22">
        <w:r w:rsidRPr="1B62D7D4">
          <w:rPr>
            <w:rStyle w:val="normaltextrun"/>
            <w:rFonts w:ascii="Calibri" w:hAnsi="Calibri" w:cs="Calibri"/>
            <w:color w:val="0000FF"/>
            <w:sz w:val="22"/>
            <w:szCs w:val="22"/>
            <w:u w:val="single"/>
          </w:rPr>
          <w:t>disclosure</w:t>
        </w:r>
      </w:hyperlink>
      <w:r w:rsidRPr="1B62D7D4">
        <w:rPr>
          <w:rStyle w:val="normaltextrun"/>
          <w:rFonts w:ascii="Calibri" w:hAnsi="Calibri" w:cs="Calibri"/>
          <w:sz w:val="22"/>
          <w:szCs w:val="22"/>
        </w:rPr>
        <w:t>. </w:t>
      </w:r>
      <w:r w:rsidRPr="1B62D7D4">
        <w:rPr>
          <w:rStyle w:val="eop"/>
          <w:rFonts w:ascii="Calibri" w:hAnsi="Calibri" w:cs="Calibri"/>
          <w:sz w:val="22"/>
          <w:szCs w:val="22"/>
        </w:rPr>
        <w:t> </w:t>
      </w:r>
    </w:p>
    <w:p w14:paraId="6D5D551F" w14:textId="77777777" w:rsidR="00F96F18" w:rsidRPr="00F96F18" w:rsidRDefault="7FBDF426" w:rsidP="1B62D7D4">
      <w:pPr>
        <w:pStyle w:val="paragraph"/>
        <w:numPr>
          <w:ilvl w:val="0"/>
          <w:numId w:val="69"/>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Once the Course Director is included in the application under the “Planners and Faculty” tab, they will be able to review the application and sign under “Support &amp; Attestation.”</w:t>
      </w:r>
      <w:r w:rsidRPr="1B62D7D4">
        <w:rPr>
          <w:rStyle w:val="eop"/>
          <w:rFonts w:ascii="Calibri" w:hAnsi="Calibri" w:cs="Calibri"/>
          <w:sz w:val="22"/>
          <w:szCs w:val="22"/>
        </w:rPr>
        <w:t> </w:t>
      </w:r>
    </w:p>
    <w:p w14:paraId="30977B3A" w14:textId="77777777" w:rsidR="00F96F18" w:rsidRPr="00F96F18" w:rsidRDefault="7FBDF426" w:rsidP="1B62D7D4">
      <w:pPr>
        <w:pStyle w:val="paragraph"/>
        <w:numPr>
          <w:ilvl w:val="0"/>
          <w:numId w:val="45"/>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b/>
          <w:bCs/>
          <w:sz w:val="22"/>
          <w:szCs w:val="22"/>
        </w:rPr>
        <w:t>Budget Estimate </w:t>
      </w:r>
      <w:r w:rsidRPr="1B62D7D4">
        <w:rPr>
          <w:rStyle w:val="eop"/>
          <w:rFonts w:ascii="Calibri" w:hAnsi="Calibri" w:cs="Calibri"/>
          <w:sz w:val="22"/>
          <w:szCs w:val="22"/>
        </w:rPr>
        <w:t> </w:t>
      </w:r>
    </w:p>
    <w:p w14:paraId="3E5F2860" w14:textId="6E534262" w:rsidR="00F96F18" w:rsidRDefault="7FBDF426" w:rsidP="1B62D7D4">
      <w:pPr>
        <w:pStyle w:val="paragraph"/>
        <w:numPr>
          <w:ilvl w:val="0"/>
          <w:numId w:val="89"/>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Complete a Budget Template available</w:t>
      </w:r>
      <w:hyperlink r:id="rId23">
        <w:r w:rsidRPr="1B62D7D4">
          <w:rPr>
            <w:rStyle w:val="Hyperlink"/>
          </w:rPr>
          <w:t> here</w:t>
        </w:r>
      </w:hyperlink>
      <w:r w:rsidRPr="1B62D7D4">
        <w:rPr>
          <w:rStyle w:val="normaltextrun"/>
          <w:rFonts w:ascii="Calibri" w:hAnsi="Calibri" w:cs="Calibri"/>
          <w:sz w:val="22"/>
          <w:szCs w:val="22"/>
        </w:rPr>
        <w:t> under “Resources for filling out the CME application.” </w:t>
      </w:r>
      <w:r w:rsidRPr="1B62D7D4">
        <w:rPr>
          <w:rStyle w:val="eop"/>
          <w:rFonts w:ascii="Calibri" w:hAnsi="Calibri" w:cs="Calibri"/>
          <w:sz w:val="22"/>
          <w:szCs w:val="22"/>
        </w:rPr>
        <w:t> </w:t>
      </w:r>
    </w:p>
    <w:p w14:paraId="639CCF94" w14:textId="77777777" w:rsidR="00F96F18" w:rsidRDefault="7FBDF426" w:rsidP="1B62D7D4">
      <w:pPr>
        <w:pStyle w:val="paragraph"/>
        <w:numPr>
          <w:ilvl w:val="0"/>
          <w:numId w:val="89"/>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Attach the Budget Template to the application under “Files – upload/download”.</w:t>
      </w:r>
      <w:r w:rsidRPr="1B62D7D4">
        <w:rPr>
          <w:rStyle w:val="eop"/>
          <w:rFonts w:ascii="Calibri" w:hAnsi="Calibri" w:cs="Calibri"/>
          <w:sz w:val="22"/>
          <w:szCs w:val="22"/>
        </w:rPr>
        <w:t> </w:t>
      </w:r>
    </w:p>
    <w:p w14:paraId="11D43F67" w14:textId="77777777" w:rsidR="00F96F18" w:rsidRDefault="7FBDF426" w:rsidP="1B62D7D4">
      <w:pPr>
        <w:pStyle w:val="paragraph"/>
        <w:numPr>
          <w:ilvl w:val="0"/>
          <w:numId w:val="89"/>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Budget templates are NOT needed for </w:t>
      </w:r>
      <w:bookmarkStart w:id="111" w:name="_Int_mdSreAkh"/>
      <w:r w:rsidRPr="1B62D7D4">
        <w:rPr>
          <w:rStyle w:val="normaltextrun"/>
          <w:rFonts w:ascii="Calibri" w:hAnsi="Calibri" w:cs="Calibri"/>
          <w:sz w:val="22"/>
          <w:szCs w:val="22"/>
        </w:rPr>
        <w:t>Regularly</w:t>
      </w:r>
      <w:bookmarkEnd w:id="111"/>
      <w:r w:rsidRPr="1B62D7D4">
        <w:rPr>
          <w:rStyle w:val="normaltextrun"/>
          <w:rFonts w:ascii="Calibri" w:hAnsi="Calibri" w:cs="Calibri"/>
          <w:sz w:val="22"/>
          <w:szCs w:val="22"/>
        </w:rPr>
        <w:t> Scheduled Series unless you are requesting external funding.</w:t>
      </w:r>
      <w:r w:rsidRPr="1B62D7D4">
        <w:rPr>
          <w:rStyle w:val="eop"/>
          <w:rFonts w:ascii="Calibri" w:hAnsi="Calibri" w:cs="Calibri"/>
          <w:sz w:val="22"/>
          <w:szCs w:val="22"/>
        </w:rPr>
        <w:t> </w:t>
      </w:r>
    </w:p>
    <w:p w14:paraId="169115B5" w14:textId="77777777" w:rsidR="00F96F18" w:rsidRDefault="7FBDF426" w:rsidP="1B62D7D4">
      <w:pPr>
        <w:pStyle w:val="paragraph"/>
        <w:spacing w:before="0" w:beforeAutospacing="0" w:after="240" w:afterAutospacing="0"/>
        <w:textAlignment w:val="baseline"/>
        <w:rPr>
          <w:rFonts w:ascii="Segoe UI" w:hAnsi="Segoe UI" w:cs="Segoe UI"/>
          <w:sz w:val="18"/>
          <w:szCs w:val="18"/>
        </w:rPr>
      </w:pPr>
      <w:r w:rsidRPr="1B62D7D4">
        <w:rPr>
          <w:rStyle w:val="eop"/>
          <w:rFonts w:ascii="Calibri" w:hAnsi="Calibri" w:cs="Calibri"/>
          <w:sz w:val="22"/>
          <w:szCs w:val="22"/>
        </w:rPr>
        <w:t> </w:t>
      </w:r>
    </w:p>
    <w:p w14:paraId="56FA7893" w14:textId="47C1DE8A" w:rsidR="00F96F18" w:rsidRDefault="7FBDF426" w:rsidP="1B62D7D4">
      <w:pPr>
        <w:pStyle w:val="paragraph"/>
        <w:numPr>
          <w:ilvl w:val="0"/>
          <w:numId w:val="45"/>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b/>
          <w:bCs/>
          <w:sz w:val="22"/>
          <w:szCs w:val="22"/>
        </w:rPr>
        <w:t>Disclosure: </w:t>
      </w:r>
      <w:r w:rsidRPr="1B62D7D4">
        <w:rPr>
          <w:rStyle w:val="normaltextrun"/>
          <w:rFonts w:ascii="Calibri" w:hAnsi="Calibri" w:cs="Calibri"/>
          <w:sz w:val="22"/>
          <w:szCs w:val="22"/>
        </w:rPr>
        <w:t>Disclosure of financial relationships is essential to maintaining a learning environment that is bias-free and independent of industry influence.</w:t>
      </w:r>
      <w:r w:rsidRPr="1B62D7D4">
        <w:rPr>
          <w:rStyle w:val="normaltextrun"/>
          <w:rFonts w:ascii="Calibri" w:hAnsi="Calibri" w:cs="Calibri"/>
          <w:b/>
          <w:bCs/>
          <w:sz w:val="22"/>
          <w:szCs w:val="22"/>
        </w:rPr>
        <w:t> </w:t>
      </w:r>
      <w:r w:rsidRPr="1B62D7D4">
        <w:rPr>
          <w:rStyle w:val="normaltextrun"/>
          <w:rFonts w:ascii="Calibri" w:hAnsi="Calibri" w:cs="Calibri"/>
          <w:sz w:val="22"/>
          <w:szCs w:val="22"/>
        </w:rPr>
        <w:t xml:space="preserve">Detailed information on this process is </w:t>
      </w:r>
      <w:r w:rsidRPr="1B62D7D4">
        <w:rPr>
          <w:rStyle w:val="normaltextrun"/>
          <w:rFonts w:ascii="Calibri" w:hAnsi="Calibri" w:cs="Calibri"/>
          <w:sz w:val="22"/>
          <w:szCs w:val="22"/>
        </w:rPr>
        <w:lastRenderedPageBreak/>
        <w:t>available in the section below titled, “Integrity and Independence: Financial Relationships, Mitigation, and Disclosure.”</w:t>
      </w:r>
      <w:r w:rsidRPr="1B62D7D4">
        <w:rPr>
          <w:rStyle w:val="eop"/>
          <w:rFonts w:ascii="Calibri" w:hAnsi="Calibri" w:cs="Calibri"/>
          <w:sz w:val="22"/>
          <w:szCs w:val="22"/>
        </w:rPr>
        <w:t> </w:t>
      </w:r>
    </w:p>
    <w:p w14:paraId="61F0859A" w14:textId="77777777" w:rsidR="00F96F18" w:rsidRDefault="7FBDF426" w:rsidP="1B62D7D4">
      <w:pPr>
        <w:pStyle w:val="paragraph"/>
        <w:numPr>
          <w:ilvl w:val="0"/>
          <w:numId w:val="87"/>
        </w:numPr>
        <w:spacing w:before="0" w:beforeAutospacing="0" w:after="240" w:afterAutospacing="0"/>
        <w:textAlignment w:val="baseline"/>
        <w:rPr>
          <w:rFonts w:ascii="Calibri" w:hAnsi="Calibri" w:cs="Calibri"/>
          <w:sz w:val="22"/>
          <w:szCs w:val="22"/>
        </w:rPr>
      </w:pPr>
      <w:hyperlink r:id="rId24">
        <w:r w:rsidRPr="1B62D7D4">
          <w:rPr>
            <w:rStyle w:val="normaltextrun"/>
            <w:rFonts w:ascii="Calibri" w:hAnsi="Calibri" w:cs="Calibri"/>
            <w:color w:val="0000FF"/>
            <w:sz w:val="22"/>
            <w:szCs w:val="22"/>
            <w:u w:val="single"/>
          </w:rPr>
          <w:t>Disclosure forms</w:t>
        </w:r>
      </w:hyperlink>
      <w:r w:rsidRPr="1B62D7D4">
        <w:rPr>
          <w:rStyle w:val="normaltextrun"/>
          <w:rFonts w:ascii="Calibri" w:hAnsi="Calibri" w:cs="Calibri"/>
          <w:sz w:val="22"/>
          <w:szCs w:val="22"/>
        </w:rPr>
        <w:t> are completed directly online for all course directors, planning committee members, content reviewers, moderators, panelists and presenters.   </w:t>
      </w:r>
      <w:r w:rsidRPr="1B62D7D4">
        <w:rPr>
          <w:rStyle w:val="eop"/>
          <w:rFonts w:ascii="Calibri" w:hAnsi="Calibri" w:cs="Calibri"/>
          <w:sz w:val="22"/>
          <w:szCs w:val="22"/>
        </w:rPr>
        <w:t> </w:t>
      </w:r>
    </w:p>
    <w:p w14:paraId="63425BDB" w14:textId="79929E8A" w:rsidR="00F96F18" w:rsidRDefault="7FBDF426" w:rsidP="1B62D7D4">
      <w:pPr>
        <w:pStyle w:val="paragraph"/>
        <w:numPr>
          <w:ilvl w:val="0"/>
          <w:numId w:val="87"/>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After including the course directors and planning committee members on the application, each will receive an automated email requesting they complete an online disclosure form unless they have a disclosure in the system for the last 12 months.</w:t>
      </w:r>
      <w:r w:rsidRPr="1B62D7D4">
        <w:rPr>
          <w:rStyle w:val="eop"/>
          <w:rFonts w:ascii="Calibri" w:hAnsi="Calibri" w:cs="Calibri"/>
          <w:sz w:val="22"/>
          <w:szCs w:val="22"/>
        </w:rPr>
        <w:t> </w:t>
      </w:r>
    </w:p>
    <w:p w14:paraId="03CAC484" w14:textId="08DA30FE" w:rsidR="00F96F18" w:rsidRDefault="7FBDF426" w:rsidP="1B62D7D4">
      <w:pPr>
        <w:pStyle w:val="paragraph"/>
        <w:numPr>
          <w:ilvl w:val="0"/>
          <w:numId w:val="87"/>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Disclosures can be reviewed under the “Planners and Faculty” tab of the application. If there is a disclosure on file, there will be a link to the disclosure next to their name. If a faculty member has submitted a disclosure and it does not appear, ensure the email address they used to complete their disclosure matches that in the CME application. If the problem persists, then contact the Office of CME.</w:t>
      </w:r>
      <w:r w:rsidRPr="1B62D7D4">
        <w:rPr>
          <w:rStyle w:val="eop"/>
          <w:rFonts w:ascii="Calibri" w:hAnsi="Calibri" w:cs="Calibri"/>
          <w:sz w:val="22"/>
          <w:szCs w:val="22"/>
        </w:rPr>
        <w:t> </w:t>
      </w:r>
    </w:p>
    <w:p w14:paraId="14E1BB45" w14:textId="77777777" w:rsidR="00F96F18" w:rsidRDefault="7FBDF426" w:rsidP="1B62D7D4">
      <w:pPr>
        <w:pStyle w:val="paragraph"/>
        <w:numPr>
          <w:ilvl w:val="0"/>
          <w:numId w:val="87"/>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If financial relationships are disclosed, mitigation must be completed for relationships relevant to the activity.</w:t>
      </w:r>
      <w:r w:rsidRPr="1B62D7D4">
        <w:rPr>
          <w:rStyle w:val="eop"/>
          <w:rFonts w:ascii="Calibri" w:hAnsi="Calibri" w:cs="Calibri"/>
          <w:sz w:val="22"/>
          <w:szCs w:val="22"/>
        </w:rPr>
        <w:t> </w:t>
      </w:r>
    </w:p>
    <w:p w14:paraId="32DA0C33" w14:textId="77777777" w:rsidR="00F96F18" w:rsidRDefault="7FBDF426" w:rsidP="1B62D7D4">
      <w:pPr>
        <w:pStyle w:val="paragraph"/>
        <w:numPr>
          <w:ilvl w:val="2"/>
          <w:numId w:val="34"/>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Course directors and planners:</w:t>
      </w:r>
      <w:r w:rsidRPr="1B62D7D4">
        <w:rPr>
          <w:rStyle w:val="normaltextrun"/>
          <w:rFonts w:asciiTheme="majorHAnsi" w:eastAsiaTheme="majorEastAsia" w:hAnsiTheme="majorHAnsi" w:cstheme="majorBidi"/>
          <w:sz w:val="22"/>
          <w:szCs w:val="22"/>
        </w:rPr>
        <w:t xml:space="preserve"> A </w:t>
      </w:r>
      <w:hyperlink r:id="rId25" w:history="1">
        <w:r w:rsidRPr="1B62D7D4">
          <w:rPr>
            <w:rStyle w:val="Hyperlink"/>
            <w:rFonts w:asciiTheme="majorHAnsi" w:eastAsiaTheme="majorEastAsia" w:hAnsiTheme="majorHAnsi" w:cstheme="majorBidi"/>
            <w:i/>
            <w:iCs/>
            <w:sz w:val="22"/>
            <w:szCs w:val="22"/>
          </w:rPr>
          <w:t>Planning</w:t>
        </w:r>
        <w:r w:rsidRPr="1B62D7D4">
          <w:rPr>
            <w:rStyle w:val="Hyperlink"/>
            <w:rFonts w:asciiTheme="majorHAnsi" w:eastAsiaTheme="majorEastAsia" w:hAnsiTheme="majorHAnsi" w:cstheme="majorBidi"/>
            <w:sz w:val="22"/>
            <w:szCs w:val="22"/>
          </w:rPr>
          <w:t> Validation Form</w:t>
        </w:r>
      </w:hyperlink>
      <w:r w:rsidRPr="1B62D7D4">
        <w:rPr>
          <w:rStyle w:val="normaltextrun"/>
          <w:rFonts w:asciiTheme="majorHAnsi" w:eastAsiaTheme="majorEastAsia" w:hAnsiTheme="majorHAnsi" w:cstheme="majorBidi"/>
          <w:sz w:val="22"/>
          <w:szCs w:val="22"/>
        </w:rPr>
        <w:t xml:space="preserve"> mu</w:t>
      </w:r>
      <w:r w:rsidRPr="1B62D7D4">
        <w:rPr>
          <w:rStyle w:val="normaltextrun"/>
          <w:rFonts w:ascii="Calibri" w:hAnsi="Calibri" w:cs="Calibri"/>
          <w:sz w:val="22"/>
          <w:szCs w:val="22"/>
        </w:rPr>
        <w:t>st be completed by a course director, planner, or content reviewer without relevant financial relationships, or relationships different than those of the person they are reviewing.</w:t>
      </w:r>
      <w:r w:rsidRPr="1B62D7D4">
        <w:rPr>
          <w:rStyle w:val="eop"/>
          <w:rFonts w:ascii="Calibri" w:hAnsi="Calibri" w:cs="Calibri"/>
          <w:sz w:val="22"/>
          <w:szCs w:val="22"/>
        </w:rPr>
        <w:t> </w:t>
      </w:r>
    </w:p>
    <w:p w14:paraId="586718C9" w14:textId="4767A58C" w:rsidR="00F96F18" w:rsidRPr="001F4196" w:rsidRDefault="7FBDF426" w:rsidP="1B62D7D4">
      <w:pPr>
        <w:pStyle w:val="paragraph"/>
        <w:numPr>
          <w:ilvl w:val="2"/>
          <w:numId w:val="34"/>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 xml:space="preserve">Presenters, moderators, panelists: </w:t>
      </w:r>
      <w:r w:rsidRPr="00B41A66">
        <w:rPr>
          <w:rStyle w:val="normaltextrun"/>
          <w:rFonts w:ascii="Calibri" w:hAnsi="Calibri" w:cs="Calibri"/>
          <w:sz w:val="22"/>
          <w:szCs w:val="22"/>
        </w:rPr>
        <w:t>A </w:t>
      </w:r>
      <w:r w:rsidRPr="00B41A66">
        <w:rPr>
          <w:rStyle w:val="normaltextrun"/>
          <w:rFonts w:ascii="Calibri" w:hAnsi="Calibri" w:cs="Calibri"/>
          <w:i/>
          <w:iCs/>
          <w:sz w:val="22"/>
          <w:szCs w:val="22"/>
        </w:rPr>
        <w:t>Content</w:t>
      </w:r>
      <w:r w:rsidRPr="00B41A66">
        <w:rPr>
          <w:rStyle w:val="normaltextrun"/>
          <w:rFonts w:ascii="Calibri" w:hAnsi="Calibri" w:cs="Calibri"/>
          <w:sz w:val="22"/>
          <w:szCs w:val="22"/>
        </w:rPr>
        <w:t> Validation Form</w:t>
      </w:r>
      <w:r w:rsidRPr="1B62D7D4">
        <w:rPr>
          <w:rStyle w:val="normaltextrun"/>
          <w:rFonts w:ascii="Calibri" w:hAnsi="Calibri" w:cs="Calibri"/>
          <w:sz w:val="22"/>
          <w:szCs w:val="22"/>
        </w:rPr>
        <w:t xml:space="preserve"> must be completed by a course director or planner after their content is peer reviewed.</w:t>
      </w:r>
      <w:r w:rsidRPr="1B62D7D4">
        <w:rPr>
          <w:rStyle w:val="eop"/>
          <w:rFonts w:ascii="Calibri" w:hAnsi="Calibri" w:cs="Calibri"/>
          <w:sz w:val="22"/>
          <w:szCs w:val="22"/>
        </w:rPr>
        <w:t> </w:t>
      </w:r>
    </w:p>
    <w:p w14:paraId="062EB5F5" w14:textId="77777777" w:rsidR="00F96F18" w:rsidRDefault="7FBDF426" w:rsidP="1B62D7D4">
      <w:pPr>
        <w:pStyle w:val="paragraph"/>
        <w:numPr>
          <w:ilvl w:val="0"/>
          <w:numId w:val="45"/>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b/>
          <w:bCs/>
          <w:sz w:val="22"/>
          <w:szCs w:val="22"/>
        </w:rPr>
        <w:t>Speaker/Faculty Spreadsheet</w:t>
      </w:r>
      <w:r w:rsidRPr="1B62D7D4">
        <w:rPr>
          <w:rStyle w:val="eop"/>
          <w:rFonts w:ascii="Calibri" w:hAnsi="Calibri" w:cs="Calibri"/>
          <w:sz w:val="22"/>
          <w:szCs w:val="22"/>
        </w:rPr>
        <w:t> </w:t>
      </w:r>
    </w:p>
    <w:p w14:paraId="490730CD" w14:textId="24D8B98C" w:rsidR="00F96F18" w:rsidRDefault="7FBDF426" w:rsidP="1B62D7D4">
      <w:pPr>
        <w:pStyle w:val="paragraph"/>
        <w:numPr>
          <w:ilvl w:val="0"/>
          <w:numId w:val="23"/>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Complete the Speaker/Faculty Spreadsheet available </w:t>
      </w:r>
      <w:hyperlink r:id="rId26">
        <w:r w:rsidRPr="1B62D7D4">
          <w:rPr>
            <w:rStyle w:val="Hyperlink"/>
          </w:rPr>
          <w:t>here </w:t>
        </w:r>
      </w:hyperlink>
      <w:r w:rsidRPr="1B62D7D4">
        <w:rPr>
          <w:rStyle w:val="normaltextrun"/>
          <w:rFonts w:ascii="Calibri" w:hAnsi="Calibri" w:cs="Calibri"/>
          <w:sz w:val="22"/>
          <w:szCs w:val="22"/>
        </w:rPr>
        <w:t>under “Resources for filling out the CME application.” </w:t>
      </w:r>
      <w:r w:rsidRPr="1B62D7D4">
        <w:rPr>
          <w:rStyle w:val="eop"/>
          <w:rFonts w:ascii="Calibri" w:hAnsi="Calibri" w:cs="Calibri"/>
          <w:sz w:val="22"/>
          <w:szCs w:val="22"/>
        </w:rPr>
        <w:t> </w:t>
      </w:r>
    </w:p>
    <w:p w14:paraId="33E7F62D" w14:textId="77777777" w:rsidR="00F96F18" w:rsidRDefault="7FBDF426" w:rsidP="1B62D7D4">
      <w:pPr>
        <w:pStyle w:val="paragraph"/>
        <w:numPr>
          <w:ilvl w:val="0"/>
          <w:numId w:val="23"/>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Attach the Speaker/Faculty Spreadsheet to the application under “Files – upload/download”.</w:t>
      </w:r>
      <w:r w:rsidRPr="1B62D7D4">
        <w:rPr>
          <w:rStyle w:val="eop"/>
          <w:rFonts w:ascii="Calibri" w:hAnsi="Calibri" w:cs="Calibri"/>
          <w:sz w:val="22"/>
          <w:szCs w:val="22"/>
        </w:rPr>
        <w:t> </w:t>
      </w:r>
    </w:p>
    <w:p w14:paraId="61D46B66" w14:textId="6B007633" w:rsidR="00F96F18" w:rsidRPr="001F4196" w:rsidRDefault="7FBDF426" w:rsidP="1B62D7D4">
      <w:pPr>
        <w:pStyle w:val="paragraph"/>
        <w:numPr>
          <w:ilvl w:val="0"/>
          <w:numId w:val="23"/>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It is ok if the complete list of activity speakers/faculty is unknown at the time of application submission. The spreadsheet should continue to be updated as speakers/faculty are added or removed.  </w:t>
      </w:r>
      <w:r w:rsidRPr="1B62D7D4">
        <w:rPr>
          <w:rStyle w:val="eop"/>
          <w:rFonts w:ascii="Calibri" w:hAnsi="Calibri" w:cs="Calibri"/>
          <w:sz w:val="22"/>
          <w:szCs w:val="22"/>
        </w:rPr>
        <w:t> </w:t>
      </w:r>
    </w:p>
    <w:p w14:paraId="2D290651" w14:textId="77777777" w:rsidR="00F96F18" w:rsidRDefault="7FBDF426" w:rsidP="1B62D7D4">
      <w:pPr>
        <w:pStyle w:val="paragraph"/>
        <w:numPr>
          <w:ilvl w:val="0"/>
          <w:numId w:val="45"/>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b/>
          <w:bCs/>
          <w:sz w:val="22"/>
          <w:szCs w:val="22"/>
        </w:rPr>
        <w:t>Activity Agenda</w:t>
      </w:r>
      <w:r w:rsidRPr="1B62D7D4">
        <w:rPr>
          <w:rStyle w:val="eop"/>
          <w:rFonts w:ascii="Calibri" w:hAnsi="Calibri" w:cs="Calibri"/>
          <w:sz w:val="22"/>
          <w:szCs w:val="22"/>
        </w:rPr>
        <w:t> </w:t>
      </w:r>
    </w:p>
    <w:p w14:paraId="5E828239" w14:textId="330AA9E9" w:rsidR="00F96F18" w:rsidRPr="001F4196" w:rsidRDefault="7FBDF426" w:rsidP="1B62D7D4">
      <w:pPr>
        <w:pStyle w:val="paragraph"/>
        <w:numPr>
          <w:ilvl w:val="0"/>
          <w:numId w:val="50"/>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Attach a draft activity agenda to the application under “Files – upload/download”</w:t>
      </w:r>
      <w:r w:rsidR="24D56B4E" w:rsidRPr="1B62D7D4">
        <w:rPr>
          <w:rStyle w:val="eop"/>
          <w:rFonts w:ascii="Calibri" w:hAnsi="Calibri" w:cs="Calibri"/>
          <w:sz w:val="22"/>
          <w:szCs w:val="22"/>
        </w:rPr>
        <w:t xml:space="preserve">. </w:t>
      </w:r>
      <w:r w:rsidRPr="1B62D7D4">
        <w:rPr>
          <w:rStyle w:val="normaltextrun"/>
          <w:rFonts w:ascii="Calibri" w:hAnsi="Calibri" w:cs="Calibri"/>
          <w:sz w:val="22"/>
          <w:szCs w:val="22"/>
        </w:rPr>
        <w:t>The agenda should include:</w:t>
      </w:r>
      <w:r w:rsidRPr="1B62D7D4">
        <w:rPr>
          <w:rStyle w:val="eop"/>
          <w:rFonts w:ascii="Calibri" w:hAnsi="Calibri" w:cs="Calibri"/>
          <w:sz w:val="22"/>
          <w:szCs w:val="22"/>
        </w:rPr>
        <w:t> </w:t>
      </w:r>
    </w:p>
    <w:p w14:paraId="4FCAA909" w14:textId="77777777" w:rsidR="00F96F18" w:rsidRDefault="7FBDF426" w:rsidP="1B62D7D4">
      <w:pPr>
        <w:pStyle w:val="paragraph"/>
        <w:numPr>
          <w:ilvl w:val="2"/>
          <w:numId w:val="15"/>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Title/topic of each presentation</w:t>
      </w:r>
      <w:r w:rsidRPr="1B62D7D4">
        <w:rPr>
          <w:rStyle w:val="eop"/>
          <w:rFonts w:ascii="Calibri" w:hAnsi="Calibri" w:cs="Calibri"/>
          <w:sz w:val="22"/>
          <w:szCs w:val="22"/>
        </w:rPr>
        <w:t> </w:t>
      </w:r>
    </w:p>
    <w:p w14:paraId="2CC3A06D" w14:textId="77777777" w:rsidR="00F96F18" w:rsidRDefault="7FBDF426" w:rsidP="1B62D7D4">
      <w:pPr>
        <w:pStyle w:val="paragraph"/>
        <w:numPr>
          <w:ilvl w:val="2"/>
          <w:numId w:val="15"/>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Speaker name(s)</w:t>
      </w:r>
      <w:r w:rsidRPr="1B62D7D4">
        <w:rPr>
          <w:rStyle w:val="eop"/>
          <w:rFonts w:ascii="Calibri" w:hAnsi="Calibri" w:cs="Calibri"/>
          <w:sz w:val="22"/>
          <w:szCs w:val="22"/>
        </w:rPr>
        <w:t> </w:t>
      </w:r>
    </w:p>
    <w:p w14:paraId="3C1F90B9" w14:textId="2AB5A0AE" w:rsidR="00F96F18" w:rsidRPr="001F4196" w:rsidRDefault="7FBDF426" w:rsidP="1B62D7D4">
      <w:pPr>
        <w:pStyle w:val="paragraph"/>
        <w:numPr>
          <w:ilvl w:val="2"/>
          <w:numId w:val="15"/>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lastRenderedPageBreak/>
        <w:t>Start time and end time for each presentation</w:t>
      </w:r>
      <w:r w:rsidRPr="1B62D7D4">
        <w:rPr>
          <w:rStyle w:val="eop"/>
          <w:rFonts w:ascii="Calibri" w:hAnsi="Calibri" w:cs="Calibri"/>
          <w:sz w:val="22"/>
          <w:szCs w:val="22"/>
        </w:rPr>
        <w:t> </w:t>
      </w:r>
    </w:p>
    <w:p w14:paraId="21FFDAA8" w14:textId="77777777" w:rsidR="00F96F18" w:rsidRDefault="7FBDF426" w:rsidP="1B62D7D4">
      <w:pPr>
        <w:pStyle w:val="paragraph"/>
        <w:numPr>
          <w:ilvl w:val="0"/>
          <w:numId w:val="96"/>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b/>
          <w:bCs/>
          <w:sz w:val="22"/>
          <w:szCs w:val="22"/>
        </w:rPr>
        <w:t>CME Application &amp; Administrative Fees </w:t>
      </w:r>
      <w:r w:rsidRPr="1B62D7D4">
        <w:rPr>
          <w:rStyle w:val="eop"/>
          <w:rFonts w:ascii="Calibri" w:hAnsi="Calibri" w:cs="Calibri"/>
          <w:sz w:val="22"/>
          <w:szCs w:val="22"/>
        </w:rPr>
        <w:t> </w:t>
      </w:r>
    </w:p>
    <w:p w14:paraId="6F742383" w14:textId="77777777" w:rsidR="00F96F18" w:rsidRDefault="7FBDF426" w:rsidP="1B62D7D4">
      <w:pPr>
        <w:pStyle w:val="paragraph"/>
        <w:numPr>
          <w:ilvl w:val="0"/>
          <w:numId w:val="57"/>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Fees will be invoiced at the time of application approval.  </w:t>
      </w:r>
      <w:r w:rsidRPr="1B62D7D4">
        <w:rPr>
          <w:rStyle w:val="eop"/>
          <w:rFonts w:ascii="Calibri" w:hAnsi="Calibri" w:cs="Calibri"/>
          <w:sz w:val="22"/>
          <w:szCs w:val="22"/>
        </w:rPr>
        <w:t> </w:t>
      </w:r>
    </w:p>
    <w:p w14:paraId="1EDE9B1A" w14:textId="77777777" w:rsidR="00B41A66" w:rsidRDefault="7FBDF426" w:rsidP="00B41A66">
      <w:pPr>
        <w:pStyle w:val="paragraph"/>
        <w:numPr>
          <w:ilvl w:val="0"/>
          <w:numId w:val="57"/>
        </w:numPr>
        <w:spacing w:before="0" w:beforeAutospacing="0" w:after="240" w:afterAutospacing="0"/>
        <w:rPr>
          <w:rStyle w:val="normaltextrun"/>
          <w:rFonts w:ascii="Calibri" w:hAnsi="Calibri" w:cs="Calibri"/>
          <w:sz w:val="22"/>
          <w:szCs w:val="22"/>
        </w:rPr>
      </w:pPr>
      <w:r w:rsidRPr="1B62D7D4">
        <w:rPr>
          <w:rStyle w:val="normaltextrun"/>
          <w:rFonts w:ascii="Calibri" w:hAnsi="Calibri" w:cs="Calibri"/>
          <w:sz w:val="22"/>
          <w:szCs w:val="22"/>
        </w:rPr>
        <w:t>The FSM Office of CME Fee structure can be found </w:t>
      </w:r>
      <w:hyperlink r:id="rId27">
        <w:r w:rsidRPr="1B62D7D4">
          <w:rPr>
            <w:rStyle w:val="Hyperlink"/>
          </w:rPr>
          <w:t>here.</w:t>
        </w:r>
      </w:hyperlink>
      <w:r w:rsidRPr="1B62D7D4">
        <w:rPr>
          <w:rStyle w:val="normaltextrun"/>
          <w:rFonts w:ascii="Calibri" w:hAnsi="Calibri" w:cs="Calibri"/>
          <w:color w:val="FF0000"/>
          <w:sz w:val="22"/>
          <w:szCs w:val="22"/>
        </w:rPr>
        <w:t> </w:t>
      </w:r>
    </w:p>
    <w:p w14:paraId="6B606033" w14:textId="26399592" w:rsidR="00EA6484" w:rsidRDefault="2081AFD7" w:rsidP="1B62D7D4">
      <w:pPr>
        <w:pStyle w:val="Heading1"/>
        <w:spacing w:after="240"/>
        <w:rPr>
          <w:rFonts w:ascii="Calibri" w:hAnsi="Calibri"/>
        </w:rPr>
      </w:pPr>
      <w:bookmarkStart w:id="112" w:name="_Toc1813333911"/>
      <w:bookmarkStart w:id="113" w:name="_Toc502145670"/>
      <w:bookmarkStart w:id="114" w:name="_Toc238829274"/>
      <w:r w:rsidRPr="1B62D7D4">
        <w:rPr>
          <w:rFonts w:ascii="Calibri" w:hAnsi="Calibri"/>
        </w:rPr>
        <w:t>1</w:t>
      </w:r>
      <w:r w:rsidR="363EC230" w:rsidRPr="1B62D7D4">
        <w:rPr>
          <w:rFonts w:ascii="Calibri" w:hAnsi="Calibri"/>
        </w:rPr>
        <w:t>2</w:t>
      </w:r>
      <w:r w:rsidRPr="1B62D7D4">
        <w:rPr>
          <w:rFonts w:ascii="Calibri" w:hAnsi="Calibri"/>
        </w:rPr>
        <w:t>. Integrity and Independence: Financial Relationships, Mitigation, and Disclosure</w:t>
      </w:r>
      <w:bookmarkEnd w:id="112"/>
      <w:bookmarkEnd w:id="113"/>
      <w:bookmarkEnd w:id="114"/>
    </w:p>
    <w:p w14:paraId="1F96F11B" w14:textId="65BD8F91" w:rsidR="00EA6484" w:rsidRDefault="1653D51A" w:rsidP="1B62D7D4">
      <w:pPr>
        <w:spacing w:after="240"/>
      </w:pPr>
      <w:r>
        <w:t>The Office of CME follows the ACCME Standards for Integrity and Independence. Anyone in control of educational content must disclose ALL financial relationships with ineligible companies within the prior 24 months, regardless of amount or perceived relevance.</w:t>
      </w:r>
      <w:r w:rsidR="60C35238">
        <w:t xml:space="preserve"> Relationships must be reviewed for relevance to the educational content and subsequently mitigated and disclosed to learners in accordance with </w:t>
      </w:r>
      <w:hyperlink r:id="rId28">
        <w:r w:rsidR="60C35238" w:rsidRPr="1B62D7D4">
          <w:rPr>
            <w:rStyle w:val="Hyperlink"/>
          </w:rPr>
          <w:t>(ACCME) Standard 3: Identify, Mitigate, and Disclose Relevant Financial Relationships.</w:t>
        </w:r>
      </w:hyperlink>
      <w:r w:rsidR="60C35238">
        <w:t> </w:t>
      </w:r>
    </w:p>
    <w:p w14:paraId="6B577405" w14:textId="308BFE35" w:rsidR="00EA6484" w:rsidRDefault="60C35238" w:rsidP="1B62D7D4">
      <w:pPr>
        <w:spacing w:after="240"/>
      </w:pPr>
      <w:r w:rsidRPr="1B62D7D4">
        <w:rPr>
          <w:i/>
          <w:iCs/>
        </w:rPr>
        <w:t>Please contact the Office of CME as soon as possible if anyone discloses any </w:t>
      </w:r>
      <w:r w:rsidRPr="1B62D7D4">
        <w:rPr>
          <w:b/>
          <w:bCs/>
          <w:i/>
          <w:iCs/>
        </w:rPr>
        <w:t>employment or ownership</w:t>
      </w:r>
      <w:r w:rsidRPr="1B62D7D4">
        <w:rPr>
          <w:i/>
          <w:iCs/>
        </w:rPr>
        <w:t> as these relationships can compromise the Office of CME’s ability to provide CME credit for an activity. </w:t>
      </w:r>
    </w:p>
    <w:p w14:paraId="150AC873" w14:textId="63D9ACDD" w:rsidR="00EA6484" w:rsidRDefault="2081AFD7" w:rsidP="1B62D7D4">
      <w:pPr>
        <w:pStyle w:val="Heading2"/>
        <w:spacing w:before="0" w:after="240"/>
        <w:rPr>
          <w:rFonts w:ascii="Calibri" w:hAnsi="Calibri"/>
        </w:rPr>
      </w:pPr>
      <w:bookmarkStart w:id="115" w:name="_Toc320104786"/>
      <w:bookmarkStart w:id="116" w:name="_Toc630548355"/>
      <w:bookmarkStart w:id="117" w:name="_Toc238829275"/>
      <w:r w:rsidRPr="1B62D7D4">
        <w:rPr>
          <w:rFonts w:ascii="Calibri" w:hAnsi="Calibri"/>
        </w:rPr>
        <w:t>1</w:t>
      </w:r>
      <w:r w:rsidR="67D0E11D" w:rsidRPr="1B62D7D4">
        <w:rPr>
          <w:rFonts w:ascii="Calibri" w:hAnsi="Calibri"/>
        </w:rPr>
        <w:t>2</w:t>
      </w:r>
      <w:r w:rsidRPr="1B62D7D4">
        <w:rPr>
          <w:rFonts w:ascii="Calibri" w:hAnsi="Calibri"/>
        </w:rPr>
        <w:t>.1 Key definitions</w:t>
      </w:r>
      <w:bookmarkEnd w:id="115"/>
      <w:bookmarkEnd w:id="116"/>
      <w:bookmarkEnd w:id="117"/>
    </w:p>
    <w:p w14:paraId="59B89527" w14:textId="080D0B93" w:rsidR="00EA6484" w:rsidRDefault="1653D51A" w:rsidP="1B62D7D4">
      <w:pPr>
        <w:pStyle w:val="ListBullet"/>
        <w:spacing w:after="240"/>
      </w:pPr>
      <w:r w:rsidRPr="1B62D7D4">
        <w:rPr>
          <w:b/>
          <w:bCs/>
          <w:u w:val="single"/>
        </w:rPr>
        <w:t>Ineligible company:</w:t>
      </w:r>
      <w:r>
        <w:t xml:space="preserve"> an</w:t>
      </w:r>
      <w:r w:rsidR="60C35238">
        <w:t>y</w:t>
      </w:r>
      <w:r>
        <w:t xml:space="preserve"> entity whose primary business is producing, marketing, selling, re-selling, or distributing healthcare products used by or on patients.</w:t>
      </w:r>
      <w:r w:rsidR="60C35238">
        <w:t xml:space="preserve"> Examples can be found </w:t>
      </w:r>
      <w:hyperlink r:id="rId29">
        <w:r w:rsidR="60C35238" w:rsidRPr="1B62D7D4">
          <w:rPr>
            <w:rStyle w:val="Hyperlink"/>
          </w:rPr>
          <w:t>here</w:t>
        </w:r>
      </w:hyperlink>
      <w:r w:rsidR="60C35238">
        <w:t>. </w:t>
      </w:r>
    </w:p>
    <w:p w14:paraId="25DE5D8C" w14:textId="06BEB17A" w:rsidR="00A9175C" w:rsidRDefault="60C35238" w:rsidP="1B62D7D4">
      <w:pPr>
        <w:pStyle w:val="ListBullet"/>
        <w:spacing w:after="240"/>
      </w:pPr>
      <w:r w:rsidRPr="1B62D7D4">
        <w:rPr>
          <w:b/>
          <w:bCs/>
          <w:u w:val="single"/>
        </w:rPr>
        <w:t>Financial Relationships:</w:t>
      </w:r>
      <w:r>
        <w:t> There is no minimum financial threshold; individuals must disclose all financial relationships, regardless of amount, with ineligible companies. Examples of financial relationships include employee, researcher, consultant, advisor, speaker, independent contractor (including contracted research), royalties or patent beneficiary, executive role, and ownership interest. Individual stocks and stock options should be disclosed; diversified mutual funds do not need to be disclosed. Research funding from ineligible companies should be disclosed by the principal or named investigator even if that </w:t>
      </w:r>
      <w:bookmarkStart w:id="118" w:name="_Int_qZ8dT0ck"/>
      <w:r>
        <w:t>individual’s</w:t>
      </w:r>
      <w:bookmarkEnd w:id="118"/>
      <w:r>
        <w:t> institution receives the research grant and manages the funds.  </w:t>
      </w:r>
    </w:p>
    <w:p w14:paraId="7DE1CAF9" w14:textId="77777777" w:rsidR="00A9175C" w:rsidRPr="00A9175C" w:rsidRDefault="60C35238" w:rsidP="1B62D7D4">
      <w:pPr>
        <w:pStyle w:val="ListBullet"/>
        <w:spacing w:after="240"/>
      </w:pPr>
      <w:r w:rsidRPr="1B62D7D4">
        <w:rPr>
          <w:b/>
          <w:bCs/>
          <w:u w:val="single"/>
        </w:rPr>
        <w:t>Relevance:</w:t>
      </w:r>
      <w:r>
        <w:t> Financial relationships are relevant if the following three conditions are met:  </w:t>
      </w:r>
    </w:p>
    <w:p w14:paraId="4822B052" w14:textId="37CBC737" w:rsidR="00A9175C" w:rsidRPr="00A9175C" w:rsidRDefault="60C35238" w:rsidP="1B62D7D4">
      <w:pPr>
        <w:pStyle w:val="ListBullet"/>
        <w:spacing w:after="240"/>
      </w:pPr>
      <w:r>
        <w:t>A financial relationship, in any amount, exists between the person in control of content and an</w:t>
      </w:r>
      <w:r w:rsidR="7356C4B8">
        <w:t xml:space="preserve"> ACCME </w:t>
      </w:r>
      <w:proofErr w:type="gramStart"/>
      <w:r w:rsidR="7356C4B8">
        <w:t xml:space="preserve">defined </w:t>
      </w:r>
      <w:r>
        <w:t xml:space="preserve"> ineligible</w:t>
      </w:r>
      <w:proofErr w:type="gramEnd"/>
      <w:r>
        <w:t xml:space="preserve"> company.</w:t>
      </w:r>
    </w:p>
    <w:p w14:paraId="529A190C" w14:textId="55E40B9B" w:rsidR="00A9175C" w:rsidRPr="00A9175C" w:rsidRDefault="746EB9FF" w:rsidP="1B62D7D4">
      <w:pPr>
        <w:pStyle w:val="ListBullet"/>
        <w:spacing w:after="240"/>
      </w:pPr>
      <w:r>
        <w:t>There has been a financial relationship during the past 24 months.</w:t>
      </w:r>
    </w:p>
    <w:p w14:paraId="320F42E8" w14:textId="6FD8CB50" w:rsidR="00A9175C" w:rsidRPr="00A9175C" w:rsidRDefault="60C35238" w:rsidP="1B62D7D4">
      <w:pPr>
        <w:pStyle w:val="ListBullet"/>
        <w:spacing w:after="240"/>
      </w:pPr>
      <w:r>
        <w:t>The content of the education is related to the products of an ineligible company with whom the person has a financial relationship.  </w:t>
      </w:r>
    </w:p>
    <w:p w14:paraId="1E39B6F9" w14:textId="77777777" w:rsidR="00EA6484" w:rsidRDefault="1653D51A" w:rsidP="1B62D7D4">
      <w:pPr>
        <w:pStyle w:val="ListBullet"/>
        <w:spacing w:after="240"/>
      </w:pPr>
      <w:r w:rsidRPr="1B62D7D4">
        <w:rPr>
          <w:b/>
          <w:bCs/>
          <w:u w:val="single"/>
        </w:rPr>
        <w:t>Mitigation:</w:t>
      </w:r>
      <w:r>
        <w:t xml:space="preserve"> steps taken to prevent commercial bias when relevant financial relationships exist.</w:t>
      </w:r>
    </w:p>
    <w:p w14:paraId="272D3232" w14:textId="004B2E61" w:rsidR="00EA6484" w:rsidRDefault="2081AFD7" w:rsidP="1B62D7D4">
      <w:pPr>
        <w:pStyle w:val="Heading2"/>
        <w:spacing w:before="0" w:after="240"/>
        <w:rPr>
          <w:rFonts w:ascii="Calibri" w:hAnsi="Calibri"/>
        </w:rPr>
      </w:pPr>
      <w:bookmarkStart w:id="119" w:name="_Toc1971216855"/>
      <w:bookmarkStart w:id="120" w:name="_Toc1380437177"/>
      <w:bookmarkStart w:id="121" w:name="_Toc238829276"/>
      <w:r w:rsidRPr="1B62D7D4">
        <w:rPr>
          <w:rFonts w:ascii="Calibri" w:hAnsi="Calibri"/>
        </w:rPr>
        <w:lastRenderedPageBreak/>
        <w:t>1</w:t>
      </w:r>
      <w:r w:rsidR="398EC335" w:rsidRPr="1B62D7D4">
        <w:rPr>
          <w:rFonts w:ascii="Calibri" w:hAnsi="Calibri"/>
        </w:rPr>
        <w:t>2</w:t>
      </w:r>
      <w:r w:rsidRPr="1B62D7D4">
        <w:rPr>
          <w:rFonts w:ascii="Calibri" w:hAnsi="Calibri"/>
        </w:rPr>
        <w:t>.2 Collection and review</w:t>
      </w:r>
      <w:bookmarkEnd w:id="119"/>
      <w:bookmarkEnd w:id="120"/>
      <w:bookmarkEnd w:id="121"/>
    </w:p>
    <w:p w14:paraId="0BDB0D59" w14:textId="77777777" w:rsidR="00A9175C" w:rsidRDefault="60C35238" w:rsidP="1B62D7D4">
      <w:pPr>
        <w:pStyle w:val="paragraph"/>
        <w:numPr>
          <w:ilvl w:val="0"/>
          <w:numId w:val="17"/>
        </w:numPr>
        <w:tabs>
          <w:tab w:val="clear" w:pos="720"/>
        </w:tabs>
        <w:spacing w:before="0" w:beforeAutospacing="0" w:after="240" w:afterAutospacing="0"/>
        <w:ind w:left="360"/>
        <w:textAlignment w:val="baseline"/>
        <w:rPr>
          <w:rFonts w:ascii="Calibri" w:hAnsi="Calibri" w:cs="Calibri"/>
          <w:sz w:val="22"/>
          <w:szCs w:val="22"/>
        </w:rPr>
      </w:pPr>
      <w:r w:rsidRPr="1B62D7D4">
        <w:rPr>
          <w:rStyle w:val="normaltextrun"/>
          <w:rFonts w:ascii="Calibri" w:hAnsi="Calibri" w:cs="Calibri"/>
          <w:sz w:val="22"/>
          <w:szCs w:val="22"/>
        </w:rPr>
        <w:t>During the educational planning process for an accredited CME activity, all planners, faculty, and others in control of content must complete the Office of CME’s online disclosure form. </w:t>
      </w:r>
      <w:r w:rsidRPr="1B62D7D4">
        <w:rPr>
          <w:rStyle w:val="eop"/>
          <w:rFonts w:ascii="Calibri" w:eastAsiaTheme="majorEastAsia" w:hAnsi="Calibri" w:cs="Calibri"/>
          <w:sz w:val="22"/>
          <w:szCs w:val="22"/>
        </w:rPr>
        <w:t> </w:t>
      </w:r>
    </w:p>
    <w:p w14:paraId="6D9BC61A" w14:textId="77777777" w:rsidR="00A9175C" w:rsidRDefault="60C35238" w:rsidP="1B62D7D4">
      <w:pPr>
        <w:pStyle w:val="paragraph"/>
        <w:numPr>
          <w:ilvl w:val="0"/>
          <w:numId w:val="67"/>
        </w:numPr>
        <w:tabs>
          <w:tab w:val="clear" w:pos="720"/>
        </w:tabs>
        <w:spacing w:before="0" w:beforeAutospacing="0" w:after="240" w:afterAutospacing="0"/>
        <w:ind w:left="360"/>
        <w:textAlignment w:val="baseline"/>
        <w:rPr>
          <w:rFonts w:ascii="Calibri" w:hAnsi="Calibri" w:cs="Calibri"/>
          <w:sz w:val="22"/>
          <w:szCs w:val="22"/>
        </w:rPr>
      </w:pPr>
      <w:r w:rsidRPr="1B62D7D4">
        <w:rPr>
          <w:rStyle w:val="normaltextrun"/>
          <w:rFonts w:ascii="Calibri" w:hAnsi="Calibri" w:cs="Calibri"/>
          <w:sz w:val="22"/>
          <w:szCs w:val="22"/>
        </w:rPr>
        <w:t>For each financial relationship, all planners, faculty, and others in control of content will be asked to enter the name of the ineligible company, the nature of the financial relationship(s), and whether the relationship is current or the date it has ended. </w:t>
      </w:r>
      <w:r w:rsidRPr="1B62D7D4">
        <w:rPr>
          <w:rStyle w:val="eop"/>
          <w:rFonts w:ascii="Calibri" w:eastAsiaTheme="majorEastAsia" w:hAnsi="Calibri" w:cs="Calibri"/>
          <w:sz w:val="22"/>
          <w:szCs w:val="22"/>
        </w:rPr>
        <w:t> </w:t>
      </w:r>
    </w:p>
    <w:p w14:paraId="0C0BCB2F" w14:textId="77777777" w:rsidR="00A9175C" w:rsidRDefault="60C35238" w:rsidP="1B62D7D4">
      <w:pPr>
        <w:pStyle w:val="paragraph"/>
        <w:numPr>
          <w:ilvl w:val="0"/>
          <w:numId w:val="54"/>
        </w:numPr>
        <w:tabs>
          <w:tab w:val="clear" w:pos="720"/>
        </w:tabs>
        <w:spacing w:before="0" w:beforeAutospacing="0" w:after="240" w:afterAutospacing="0"/>
        <w:ind w:left="360"/>
        <w:textAlignment w:val="baseline"/>
        <w:rPr>
          <w:rFonts w:ascii="Calibri" w:hAnsi="Calibri" w:cs="Calibri"/>
          <w:sz w:val="22"/>
          <w:szCs w:val="22"/>
        </w:rPr>
      </w:pPr>
      <w:r w:rsidRPr="1B62D7D4">
        <w:rPr>
          <w:rStyle w:val="normaltextrun"/>
          <w:rFonts w:ascii="Calibri" w:hAnsi="Calibri" w:cs="Calibri"/>
          <w:sz w:val="22"/>
          <w:szCs w:val="22"/>
        </w:rPr>
        <w:t>During the CME application process, an Excel spreadsheet listing all activity planners, faculty, and </w:t>
      </w:r>
      <w:bookmarkStart w:id="122" w:name="_Int_9ySgYJwU"/>
      <w:r w:rsidRPr="1B62D7D4">
        <w:rPr>
          <w:rStyle w:val="normaltextrun"/>
          <w:rFonts w:ascii="Calibri" w:hAnsi="Calibri" w:cs="Calibri"/>
          <w:sz w:val="22"/>
          <w:szCs w:val="22"/>
        </w:rPr>
        <w:t>others,</w:t>
      </w:r>
      <w:bookmarkEnd w:id="122"/>
      <w:r w:rsidRPr="1B62D7D4">
        <w:rPr>
          <w:rStyle w:val="normaltextrun"/>
          <w:rFonts w:ascii="Calibri" w:hAnsi="Calibri" w:cs="Calibri"/>
          <w:sz w:val="22"/>
          <w:szCs w:val="22"/>
        </w:rPr>
        <w:t> their roles in the activity, their financial relationships, and mitigation strategies for relevant relationships must be completed. The spreadsheet is available </w:t>
      </w:r>
      <w:hyperlink r:id="rId30">
        <w:r w:rsidRPr="1B62D7D4">
          <w:rPr>
            <w:rStyle w:val="normaltextrun"/>
            <w:rFonts w:ascii="Calibri" w:hAnsi="Calibri" w:cs="Calibri"/>
            <w:color w:val="0000FF"/>
            <w:sz w:val="22"/>
            <w:szCs w:val="22"/>
            <w:u w:val="single"/>
          </w:rPr>
          <w:t>here</w:t>
        </w:r>
      </w:hyperlink>
      <w:r w:rsidRPr="1B62D7D4">
        <w:rPr>
          <w:rStyle w:val="normaltextrun"/>
          <w:rFonts w:ascii="Calibri" w:hAnsi="Calibri" w:cs="Calibri"/>
          <w:sz w:val="22"/>
          <w:szCs w:val="22"/>
        </w:rPr>
        <w:t> and titled “Speaker/Faculty Spreadsheet”. </w:t>
      </w:r>
      <w:r w:rsidRPr="1B62D7D4">
        <w:rPr>
          <w:rStyle w:val="eop"/>
          <w:rFonts w:ascii="Calibri" w:eastAsiaTheme="majorEastAsia" w:hAnsi="Calibri" w:cs="Calibri"/>
          <w:sz w:val="22"/>
          <w:szCs w:val="22"/>
        </w:rPr>
        <w:t> </w:t>
      </w:r>
    </w:p>
    <w:p w14:paraId="3B7E87BE" w14:textId="77777777" w:rsidR="00A9175C" w:rsidRDefault="60C35238" w:rsidP="1B62D7D4">
      <w:pPr>
        <w:pStyle w:val="paragraph"/>
        <w:numPr>
          <w:ilvl w:val="0"/>
          <w:numId w:val="65"/>
        </w:numPr>
        <w:tabs>
          <w:tab w:val="clear" w:pos="720"/>
        </w:tabs>
        <w:spacing w:before="0" w:beforeAutospacing="0" w:after="240" w:afterAutospacing="0"/>
        <w:ind w:left="360"/>
        <w:textAlignment w:val="baseline"/>
        <w:rPr>
          <w:rFonts w:ascii="Calibri" w:hAnsi="Calibri" w:cs="Calibri"/>
          <w:sz w:val="22"/>
          <w:szCs w:val="22"/>
        </w:rPr>
      </w:pPr>
      <w:r w:rsidRPr="1B62D7D4">
        <w:rPr>
          <w:rStyle w:val="normaltextrun"/>
          <w:rFonts w:ascii="Calibri" w:hAnsi="Calibri" w:cs="Calibri"/>
          <w:sz w:val="22"/>
          <w:szCs w:val="22"/>
        </w:rPr>
        <w:t>An activity will NOT be reviewed or approved by the CME review committee if the </w:t>
      </w:r>
      <w:bookmarkStart w:id="123" w:name="_Int_o7gL8lHk"/>
      <w:r w:rsidRPr="1B62D7D4">
        <w:rPr>
          <w:rStyle w:val="normaltextrun"/>
          <w:rFonts w:ascii="Calibri" w:hAnsi="Calibri" w:cs="Calibri"/>
          <w:sz w:val="22"/>
          <w:szCs w:val="22"/>
        </w:rPr>
        <w:t>disclosure</w:t>
      </w:r>
      <w:bookmarkEnd w:id="123"/>
      <w:r w:rsidRPr="1B62D7D4">
        <w:rPr>
          <w:rStyle w:val="normaltextrun"/>
          <w:rFonts w:ascii="Calibri" w:hAnsi="Calibri" w:cs="Calibri"/>
          <w:sz w:val="22"/>
          <w:szCs w:val="22"/>
        </w:rPr>
        <w:t> information for the activity planners is incomplete. Activity planners listed in the CME application will receive an automatically generated email requesting that the online disclosure form be completed.   </w:t>
      </w:r>
      <w:r w:rsidRPr="1B62D7D4">
        <w:rPr>
          <w:rStyle w:val="eop"/>
          <w:rFonts w:ascii="Calibri" w:eastAsiaTheme="majorEastAsia" w:hAnsi="Calibri" w:cs="Calibri"/>
          <w:sz w:val="22"/>
          <w:szCs w:val="22"/>
        </w:rPr>
        <w:t> </w:t>
      </w:r>
    </w:p>
    <w:p w14:paraId="002A4A4F" w14:textId="77777777" w:rsidR="00A9175C" w:rsidRDefault="60C35238" w:rsidP="1B62D7D4">
      <w:pPr>
        <w:pStyle w:val="paragraph"/>
        <w:numPr>
          <w:ilvl w:val="0"/>
          <w:numId w:val="90"/>
        </w:numPr>
        <w:tabs>
          <w:tab w:val="clear" w:pos="720"/>
        </w:tabs>
        <w:spacing w:before="0" w:beforeAutospacing="0" w:after="240" w:afterAutospacing="0"/>
        <w:ind w:left="360"/>
        <w:textAlignment w:val="baseline"/>
        <w:rPr>
          <w:rFonts w:ascii="Calibri" w:hAnsi="Calibri" w:cs="Calibri"/>
          <w:sz w:val="22"/>
          <w:szCs w:val="22"/>
        </w:rPr>
      </w:pPr>
      <w:r w:rsidRPr="1B62D7D4">
        <w:rPr>
          <w:rStyle w:val="normaltextrun"/>
          <w:rFonts w:ascii="Calibri" w:hAnsi="Calibri" w:cs="Calibri"/>
          <w:sz w:val="22"/>
          <w:szCs w:val="22"/>
        </w:rPr>
        <w:t>Disclosure information from all remaining faculty and speakers should be obtained as soon as the final agenda is completed and well before the activity. </w:t>
      </w:r>
      <w:r w:rsidRPr="1B62D7D4">
        <w:rPr>
          <w:rStyle w:val="eop"/>
          <w:rFonts w:ascii="Calibri" w:eastAsiaTheme="majorEastAsia" w:hAnsi="Calibri" w:cs="Calibri"/>
          <w:sz w:val="22"/>
          <w:szCs w:val="22"/>
        </w:rPr>
        <w:t> </w:t>
      </w:r>
    </w:p>
    <w:p w14:paraId="71717AB5" w14:textId="77777777" w:rsidR="00A9175C" w:rsidRDefault="60C35238" w:rsidP="1B62D7D4">
      <w:pPr>
        <w:pStyle w:val="paragraph"/>
        <w:numPr>
          <w:ilvl w:val="0"/>
          <w:numId w:val="63"/>
        </w:numPr>
        <w:tabs>
          <w:tab w:val="clear" w:pos="720"/>
        </w:tabs>
        <w:spacing w:before="0" w:beforeAutospacing="0" w:after="240" w:afterAutospacing="0"/>
        <w:ind w:left="360"/>
        <w:textAlignment w:val="baseline"/>
        <w:rPr>
          <w:rFonts w:ascii="Calibri" w:hAnsi="Calibri" w:cs="Calibri"/>
          <w:sz w:val="22"/>
          <w:szCs w:val="22"/>
        </w:rPr>
      </w:pPr>
      <w:r w:rsidRPr="1B62D7D4">
        <w:rPr>
          <w:rStyle w:val="normaltextrun"/>
          <w:rFonts w:ascii="Calibri" w:hAnsi="Calibri" w:cs="Calibri"/>
          <w:sz w:val="22"/>
          <w:szCs w:val="22"/>
        </w:rPr>
        <w:t>As faculty are added to the agenda, the activity planners should provide them with the link to complete their disclosure, available </w:t>
      </w:r>
      <w:hyperlink r:id="rId31">
        <w:r w:rsidRPr="1B62D7D4">
          <w:rPr>
            <w:rStyle w:val="normaltextrun"/>
            <w:rFonts w:ascii="Calibri" w:hAnsi="Calibri" w:cs="Calibri"/>
            <w:color w:val="0000FF"/>
            <w:sz w:val="22"/>
            <w:szCs w:val="22"/>
            <w:u w:val="single"/>
          </w:rPr>
          <w:t>here.</w:t>
        </w:r>
      </w:hyperlink>
      <w:r w:rsidRPr="1B62D7D4">
        <w:rPr>
          <w:rStyle w:val="normaltextrun"/>
          <w:rFonts w:ascii="Calibri" w:hAnsi="Calibri" w:cs="Calibri"/>
          <w:sz w:val="22"/>
          <w:szCs w:val="22"/>
        </w:rPr>
        <w:t> Faculty will be required to log-in to our Learning Management System to complete their disclosure.  </w:t>
      </w:r>
      <w:r w:rsidRPr="1B62D7D4">
        <w:rPr>
          <w:rStyle w:val="eop"/>
          <w:rFonts w:ascii="Calibri" w:eastAsiaTheme="majorEastAsia" w:hAnsi="Calibri" w:cs="Calibri"/>
          <w:sz w:val="22"/>
          <w:szCs w:val="22"/>
        </w:rPr>
        <w:t> </w:t>
      </w:r>
    </w:p>
    <w:p w14:paraId="297D72EF" w14:textId="374B99A0" w:rsidR="00A9175C" w:rsidRDefault="60C35238" w:rsidP="1B62D7D4">
      <w:pPr>
        <w:pStyle w:val="paragraph"/>
        <w:numPr>
          <w:ilvl w:val="0"/>
          <w:numId w:val="49"/>
        </w:numPr>
        <w:tabs>
          <w:tab w:val="clear" w:pos="720"/>
        </w:tabs>
        <w:spacing w:before="0" w:beforeAutospacing="0" w:after="240" w:afterAutospacing="0"/>
        <w:ind w:left="360"/>
        <w:textAlignment w:val="baseline"/>
        <w:rPr>
          <w:rFonts w:ascii="Calibri" w:hAnsi="Calibri" w:cs="Calibri"/>
          <w:sz w:val="22"/>
          <w:szCs w:val="22"/>
        </w:rPr>
      </w:pPr>
      <w:r w:rsidRPr="1B62D7D4">
        <w:rPr>
          <w:rStyle w:val="normaltextrun"/>
          <w:rFonts w:ascii="Calibri" w:hAnsi="Calibri" w:cs="Calibri"/>
          <w:sz w:val="22"/>
          <w:szCs w:val="22"/>
        </w:rPr>
        <w:t>The ACCME </w:t>
      </w:r>
      <w:hyperlink r:id="rId32">
        <w:r w:rsidRPr="1B62D7D4">
          <w:rPr>
            <w:rStyle w:val="normaltextrun"/>
            <w:rFonts w:ascii="Calibri" w:hAnsi="Calibri" w:cs="Calibri"/>
            <w:b/>
            <w:bCs/>
            <w:color w:val="0000FF"/>
            <w:sz w:val="22"/>
            <w:szCs w:val="22"/>
            <w:u w:val="single"/>
          </w:rPr>
          <w:t>Standards for Integrity and Independence</w:t>
        </w:r>
      </w:hyperlink>
      <w:r w:rsidRPr="1B62D7D4">
        <w:rPr>
          <w:rStyle w:val="normaltextrun"/>
          <w:rFonts w:ascii="Calibri" w:hAnsi="Calibri" w:cs="Calibri"/>
          <w:sz w:val="22"/>
          <w:szCs w:val="22"/>
        </w:rPr>
        <w:t> requires that we disqualify individuals who refuse to provide this information from involvement in the planning and implementation of accredited continuing education. </w:t>
      </w:r>
      <w:r w:rsidRPr="1B62D7D4">
        <w:rPr>
          <w:rStyle w:val="eop"/>
          <w:rFonts w:ascii="Calibri" w:eastAsiaTheme="majorEastAsia" w:hAnsi="Calibri" w:cs="Calibri"/>
          <w:sz w:val="22"/>
          <w:szCs w:val="22"/>
        </w:rPr>
        <w:t> </w:t>
      </w:r>
    </w:p>
    <w:p w14:paraId="4CAF0261" w14:textId="77777777" w:rsidR="00A9175C" w:rsidRDefault="60C35238" w:rsidP="1B62D7D4">
      <w:pPr>
        <w:pStyle w:val="paragraph"/>
        <w:numPr>
          <w:ilvl w:val="0"/>
          <w:numId w:val="12"/>
        </w:numPr>
        <w:tabs>
          <w:tab w:val="clear" w:pos="720"/>
        </w:tabs>
        <w:spacing w:before="0" w:beforeAutospacing="0" w:after="240" w:afterAutospacing="0"/>
        <w:ind w:left="360"/>
        <w:textAlignment w:val="baseline"/>
        <w:rPr>
          <w:rFonts w:ascii="Calibri" w:hAnsi="Calibri" w:cs="Calibri"/>
          <w:sz w:val="22"/>
          <w:szCs w:val="22"/>
        </w:rPr>
      </w:pPr>
      <w:r w:rsidRPr="1B62D7D4">
        <w:rPr>
          <w:rStyle w:val="normaltextrun"/>
          <w:rFonts w:ascii="Calibri" w:hAnsi="Calibri" w:cs="Calibri"/>
          <w:sz w:val="22"/>
          <w:szCs w:val="22"/>
        </w:rPr>
        <w:t>If disclosure information is not provided to the Office of CME with sufficient time for the information to be reviewed, the Office of CME will not </w:t>
      </w:r>
      <w:bookmarkStart w:id="124" w:name="_Int_8y4OJyNi"/>
      <w:r w:rsidRPr="1B62D7D4">
        <w:rPr>
          <w:rStyle w:val="normaltextrun"/>
          <w:rFonts w:ascii="Calibri" w:hAnsi="Calibri" w:cs="Calibri"/>
          <w:sz w:val="22"/>
          <w:szCs w:val="22"/>
        </w:rPr>
        <w:t>accredit</w:t>
      </w:r>
      <w:bookmarkEnd w:id="124"/>
      <w:r w:rsidRPr="1B62D7D4">
        <w:rPr>
          <w:rStyle w:val="normaltextrun"/>
          <w:rFonts w:ascii="Calibri" w:hAnsi="Calibri" w:cs="Calibri"/>
          <w:sz w:val="22"/>
          <w:szCs w:val="22"/>
        </w:rPr>
        <w:t> the activity. </w:t>
      </w:r>
      <w:r w:rsidRPr="1B62D7D4">
        <w:rPr>
          <w:rStyle w:val="eop"/>
          <w:rFonts w:ascii="Calibri" w:eastAsiaTheme="majorEastAsia" w:hAnsi="Calibri" w:cs="Calibri"/>
          <w:sz w:val="22"/>
          <w:szCs w:val="22"/>
        </w:rPr>
        <w:t> </w:t>
      </w:r>
    </w:p>
    <w:p w14:paraId="70FB2EFC" w14:textId="77777777" w:rsidR="00A9175C" w:rsidRDefault="60C35238" w:rsidP="1B62D7D4">
      <w:pPr>
        <w:pStyle w:val="paragraph"/>
        <w:numPr>
          <w:ilvl w:val="0"/>
          <w:numId w:val="77"/>
        </w:numPr>
        <w:tabs>
          <w:tab w:val="clear" w:pos="720"/>
        </w:tabs>
        <w:spacing w:before="0" w:beforeAutospacing="0" w:after="240" w:afterAutospacing="0"/>
        <w:ind w:left="360"/>
        <w:textAlignment w:val="baseline"/>
        <w:rPr>
          <w:rFonts w:ascii="Calibri" w:hAnsi="Calibri" w:cs="Calibri"/>
          <w:sz w:val="22"/>
          <w:szCs w:val="22"/>
        </w:rPr>
      </w:pPr>
      <w:r w:rsidRPr="1B62D7D4">
        <w:rPr>
          <w:rStyle w:val="normaltextrun"/>
          <w:rFonts w:ascii="Calibri" w:hAnsi="Calibri" w:cs="Calibri"/>
          <w:sz w:val="22"/>
          <w:szCs w:val="22"/>
        </w:rPr>
        <w:t>It is the activity planners' responsibility to ensure their faculty have completed their </w:t>
      </w:r>
      <w:bookmarkStart w:id="125" w:name="_Int_YYtEMGQn"/>
      <w:r w:rsidRPr="1B62D7D4">
        <w:rPr>
          <w:rStyle w:val="normaltextrun"/>
          <w:rFonts w:ascii="Calibri" w:hAnsi="Calibri" w:cs="Calibri"/>
          <w:sz w:val="22"/>
          <w:szCs w:val="22"/>
        </w:rPr>
        <w:t>disclosure</w:t>
      </w:r>
      <w:bookmarkEnd w:id="125"/>
      <w:r w:rsidRPr="1B62D7D4">
        <w:rPr>
          <w:rStyle w:val="normaltextrun"/>
          <w:rFonts w:ascii="Calibri" w:hAnsi="Calibri" w:cs="Calibri"/>
          <w:sz w:val="22"/>
          <w:szCs w:val="22"/>
        </w:rPr>
        <w:t> information. The Office of CME can assist with technical problems with the online disclosure form. </w:t>
      </w:r>
      <w:r w:rsidRPr="1B62D7D4">
        <w:rPr>
          <w:rStyle w:val="eop"/>
          <w:rFonts w:ascii="Calibri" w:eastAsiaTheme="majorEastAsia" w:hAnsi="Calibri" w:cs="Calibri"/>
          <w:sz w:val="22"/>
          <w:szCs w:val="22"/>
        </w:rPr>
        <w:t> </w:t>
      </w:r>
    </w:p>
    <w:p w14:paraId="6F465B07" w14:textId="586C232B" w:rsidR="00A9175C" w:rsidRDefault="60C35238" w:rsidP="1B62D7D4">
      <w:pPr>
        <w:pStyle w:val="paragraph"/>
        <w:numPr>
          <w:ilvl w:val="0"/>
          <w:numId w:val="68"/>
        </w:numPr>
        <w:tabs>
          <w:tab w:val="clear" w:pos="720"/>
        </w:tabs>
        <w:spacing w:before="0" w:beforeAutospacing="0" w:after="240" w:afterAutospacing="0"/>
        <w:ind w:left="360"/>
        <w:textAlignment w:val="baseline"/>
        <w:rPr>
          <w:rFonts w:ascii="Calibri" w:hAnsi="Calibri" w:cs="Calibri"/>
          <w:sz w:val="22"/>
          <w:szCs w:val="22"/>
        </w:rPr>
      </w:pPr>
      <w:r w:rsidRPr="1B62D7D4">
        <w:rPr>
          <w:rStyle w:val="normaltextrun"/>
          <w:rFonts w:ascii="Calibri" w:hAnsi="Calibri" w:cs="Calibri"/>
          <w:sz w:val="22"/>
          <w:szCs w:val="22"/>
        </w:rPr>
        <w:t>In the rare event that completion of the online form is not possible, the planner/speaker must contact the </w:t>
      </w:r>
      <w:hyperlink r:id="rId33">
        <w:r w:rsidRPr="1B62D7D4">
          <w:rPr>
            <w:rStyle w:val="normaltextrun"/>
            <w:rFonts w:ascii="Calibri" w:hAnsi="Calibri" w:cs="Calibri"/>
            <w:color w:val="0000FF"/>
            <w:sz w:val="22"/>
            <w:szCs w:val="22"/>
            <w:u w:val="single"/>
          </w:rPr>
          <w:t>Office of CME</w:t>
        </w:r>
      </w:hyperlink>
      <w:r w:rsidRPr="1B62D7D4">
        <w:rPr>
          <w:rStyle w:val="normaltextrun"/>
          <w:rFonts w:ascii="Calibri" w:hAnsi="Calibri" w:cs="Calibri"/>
          <w:sz w:val="22"/>
          <w:szCs w:val="22"/>
        </w:rPr>
        <w:t> to discuss alternative modes of submission.  </w:t>
      </w:r>
      <w:r w:rsidRPr="1B62D7D4">
        <w:rPr>
          <w:rStyle w:val="eop"/>
          <w:rFonts w:ascii="Calibri" w:eastAsiaTheme="majorEastAsia" w:hAnsi="Calibri" w:cs="Calibri"/>
          <w:sz w:val="22"/>
          <w:szCs w:val="22"/>
        </w:rPr>
        <w:t> </w:t>
      </w:r>
      <w:r w:rsidR="3F4ECD1E" w:rsidRPr="1B62D7D4">
        <w:rPr>
          <w:rStyle w:val="eop"/>
          <w:rFonts w:ascii="Calibri" w:eastAsiaTheme="majorEastAsia" w:hAnsi="Calibri" w:cs="Calibri"/>
          <w:sz w:val="22"/>
          <w:szCs w:val="22"/>
        </w:rPr>
        <w:t xml:space="preserve"> </w:t>
      </w:r>
    </w:p>
    <w:p w14:paraId="0A5B15E1" w14:textId="4BF25D60" w:rsidR="009209F4" w:rsidRPr="009209F4" w:rsidRDefault="60C35238" w:rsidP="1B62D7D4">
      <w:pPr>
        <w:pStyle w:val="paragraph"/>
        <w:numPr>
          <w:ilvl w:val="0"/>
          <w:numId w:val="30"/>
        </w:numPr>
        <w:tabs>
          <w:tab w:val="clear" w:pos="720"/>
        </w:tabs>
        <w:spacing w:before="0" w:beforeAutospacing="0" w:after="240" w:afterAutospacing="0"/>
        <w:ind w:left="360"/>
        <w:rPr>
          <w:rFonts w:ascii="Calibri" w:hAnsi="Calibri"/>
        </w:rPr>
      </w:pPr>
      <w:r w:rsidRPr="1B62D7D4">
        <w:rPr>
          <w:rStyle w:val="normaltextrun"/>
          <w:rFonts w:ascii="Calibri" w:hAnsi="Calibri" w:cs="Calibri"/>
          <w:sz w:val="22"/>
          <w:szCs w:val="22"/>
        </w:rPr>
        <w:t>You </w:t>
      </w:r>
      <w:r w:rsidRPr="1B62D7D4">
        <w:rPr>
          <w:rStyle w:val="normaltextrun"/>
          <w:rFonts w:ascii="Calibri" w:hAnsi="Calibri" w:cs="Calibri"/>
          <w:b/>
          <w:bCs/>
          <w:sz w:val="22"/>
          <w:szCs w:val="22"/>
        </w:rPr>
        <w:t>do not</w:t>
      </w:r>
      <w:r w:rsidRPr="1B62D7D4">
        <w:rPr>
          <w:rStyle w:val="normaltextrun"/>
          <w:rFonts w:ascii="Calibri" w:hAnsi="Calibri" w:cs="Calibri"/>
          <w:sz w:val="22"/>
          <w:szCs w:val="22"/>
        </w:rPr>
        <w:t> need to identify, mitigate, or disclose relevant financial relationships when </w:t>
      </w:r>
      <w:proofErr w:type="gramStart"/>
      <w:r w:rsidRPr="1B62D7D4">
        <w:rPr>
          <w:rStyle w:val="normaltextrun"/>
          <w:rFonts w:ascii="Calibri" w:hAnsi="Calibri" w:cs="Calibri"/>
          <w:sz w:val="22"/>
          <w:szCs w:val="22"/>
        </w:rPr>
        <w:t>the education will</w:t>
      </w:r>
      <w:proofErr w:type="gramEnd"/>
      <w:r w:rsidRPr="1B62D7D4">
        <w:rPr>
          <w:rStyle w:val="normaltextrun"/>
          <w:rFonts w:ascii="Calibri" w:hAnsi="Calibri" w:cs="Calibri"/>
          <w:sz w:val="22"/>
          <w:szCs w:val="22"/>
        </w:rPr>
        <w:t> only address a non-clinical topic (e.g., leadership or communication skills training). Determination of “non-clinical” activities is completed during the application process.  </w:t>
      </w:r>
      <w:r w:rsidRPr="1B62D7D4">
        <w:rPr>
          <w:rStyle w:val="eop"/>
          <w:rFonts w:ascii="Calibri" w:eastAsiaTheme="majorEastAsia" w:hAnsi="Calibri" w:cs="Calibri"/>
          <w:sz w:val="22"/>
          <w:szCs w:val="22"/>
        </w:rPr>
        <w:t> </w:t>
      </w:r>
    </w:p>
    <w:p w14:paraId="59E44BE0" w14:textId="5B811E94" w:rsidR="009209F4" w:rsidRPr="009209F4" w:rsidRDefault="0664F8C2" w:rsidP="1B62D7D4">
      <w:pPr>
        <w:pStyle w:val="Heading2"/>
        <w:spacing w:after="240"/>
        <w:rPr>
          <w:rFonts w:ascii="Calibri" w:hAnsi="Calibri"/>
        </w:rPr>
      </w:pPr>
      <w:bookmarkStart w:id="126" w:name="_Toc686761579"/>
      <w:bookmarkStart w:id="127" w:name="_Toc618877892"/>
      <w:bookmarkStart w:id="128" w:name="_Toc238829277"/>
      <w:r>
        <w:lastRenderedPageBreak/>
        <w:t xml:space="preserve">12.3 </w:t>
      </w:r>
      <w:r w:rsidR="2081AFD7">
        <w:t xml:space="preserve">Mitigation </w:t>
      </w:r>
      <w:proofErr w:type="gramStart"/>
      <w:r w:rsidR="2081AFD7">
        <w:t>mechanisms</w:t>
      </w:r>
      <w:bookmarkEnd w:id="126"/>
      <w:bookmarkEnd w:id="127"/>
      <w:bookmarkEnd w:id="128"/>
      <w:proofErr w:type="gramEnd"/>
    </w:p>
    <w:p w14:paraId="263FA7F8" w14:textId="7731AC29" w:rsidR="009209F4" w:rsidRPr="001F4196" w:rsidRDefault="7CA212E1" w:rsidP="1B62D7D4">
      <w:pPr>
        <w:pStyle w:val="paragraph"/>
        <w:numPr>
          <w:ilvl w:val="0"/>
          <w:numId w:val="46"/>
        </w:numPr>
        <w:spacing w:before="0" w:beforeAutospacing="0" w:after="240" w:afterAutospacing="0"/>
        <w:textAlignment w:val="baseline"/>
        <w:rPr>
          <w:rFonts w:ascii="Calibri" w:hAnsi="Calibri" w:cs="Calibri"/>
          <w:sz w:val="22"/>
          <w:szCs w:val="22"/>
        </w:rPr>
      </w:pPr>
      <w:r w:rsidRPr="1B62D7D4">
        <w:rPr>
          <w:rStyle w:val="normaltextrun"/>
          <w:rFonts w:ascii="Calibri" w:eastAsiaTheme="majorEastAsia" w:hAnsi="Calibri" w:cs="Calibri"/>
          <w:sz w:val="22"/>
          <w:szCs w:val="22"/>
        </w:rPr>
        <w:t>The Office of CME will determine if disclosed financial</w:t>
      </w:r>
      <w:r w:rsidR="538CBC57" w:rsidRPr="1B62D7D4">
        <w:rPr>
          <w:rStyle w:val="normaltextrun"/>
          <w:rFonts w:ascii="Calibri" w:eastAsiaTheme="majorEastAsia" w:hAnsi="Calibri" w:cs="Calibri"/>
          <w:sz w:val="22"/>
          <w:szCs w:val="22"/>
        </w:rPr>
        <w:t xml:space="preserve"> </w:t>
      </w:r>
      <w:r w:rsidRPr="1B62D7D4">
        <w:rPr>
          <w:rStyle w:val="normaltextrun"/>
          <w:rFonts w:ascii="Calibri" w:eastAsiaTheme="majorEastAsia" w:hAnsi="Calibri" w:cs="Calibri"/>
          <w:sz w:val="22"/>
          <w:szCs w:val="22"/>
        </w:rPr>
        <w:t>relationships are </w:t>
      </w:r>
      <w:r w:rsidRPr="1B62D7D4">
        <w:rPr>
          <w:rStyle w:val="normaltextrun"/>
          <w:rFonts w:ascii="Calibri" w:eastAsiaTheme="majorEastAsia" w:hAnsi="Calibri" w:cs="Calibri"/>
          <w:i/>
          <w:iCs/>
          <w:sz w:val="22"/>
          <w:szCs w:val="22"/>
        </w:rPr>
        <w:t>relevant</w:t>
      </w:r>
      <w:r w:rsidRPr="1B62D7D4">
        <w:rPr>
          <w:rStyle w:val="normaltextrun"/>
          <w:rFonts w:ascii="Calibri" w:eastAsiaTheme="majorEastAsia" w:hAnsi="Calibri" w:cs="Calibri"/>
          <w:sz w:val="22"/>
          <w:szCs w:val="22"/>
        </w:rPr>
        <w:t> with assistance from activity planners, the CME review</w:t>
      </w:r>
      <w:r w:rsidR="24D56B4E" w:rsidRPr="1B62D7D4">
        <w:rPr>
          <w:rStyle w:val="normaltextrun"/>
          <w:rFonts w:ascii="Calibri" w:eastAsiaTheme="majorEastAsia" w:hAnsi="Calibri" w:cs="Calibri"/>
          <w:sz w:val="22"/>
          <w:szCs w:val="22"/>
        </w:rPr>
        <w:t xml:space="preserve"> </w:t>
      </w:r>
      <w:r w:rsidRPr="1B62D7D4">
        <w:rPr>
          <w:rStyle w:val="normaltextrun"/>
          <w:rFonts w:ascii="Calibri" w:eastAsiaTheme="majorEastAsia" w:hAnsi="Calibri" w:cs="Calibri"/>
          <w:sz w:val="22"/>
          <w:szCs w:val="22"/>
        </w:rPr>
        <w:t>committee, and potentially expert consultation.</w:t>
      </w:r>
      <w:r w:rsidRPr="1B62D7D4">
        <w:rPr>
          <w:rStyle w:val="eop"/>
          <w:rFonts w:ascii="Calibri" w:hAnsi="Calibri" w:cs="Calibri"/>
          <w:sz w:val="22"/>
          <w:szCs w:val="22"/>
        </w:rPr>
        <w:t> </w:t>
      </w:r>
    </w:p>
    <w:p w14:paraId="731B9587" w14:textId="77777777" w:rsidR="009209F4" w:rsidRDefault="7CA212E1" w:rsidP="1B62D7D4">
      <w:pPr>
        <w:pStyle w:val="paragraph"/>
        <w:numPr>
          <w:ilvl w:val="0"/>
          <w:numId w:val="2"/>
        </w:numPr>
        <w:tabs>
          <w:tab w:val="clear" w:pos="720"/>
        </w:tabs>
        <w:spacing w:before="0" w:beforeAutospacing="0" w:after="240" w:afterAutospacing="0"/>
        <w:ind w:left="360"/>
        <w:textAlignment w:val="baseline"/>
        <w:rPr>
          <w:rFonts w:ascii="Calibri" w:hAnsi="Calibri" w:cs="Calibri"/>
          <w:sz w:val="22"/>
          <w:szCs w:val="22"/>
        </w:rPr>
      </w:pPr>
      <w:r w:rsidRPr="1B62D7D4">
        <w:rPr>
          <w:rStyle w:val="normaltextrun"/>
          <w:rFonts w:ascii="Calibri" w:eastAsiaTheme="majorEastAsia" w:hAnsi="Calibri" w:cs="Calibri"/>
          <w:sz w:val="22"/>
          <w:szCs w:val="22"/>
        </w:rPr>
        <w:t>A mitigation strategy is selected and implemented before the person assumes their role in the activity. The mitigation strategy must be appropriate to the </w:t>
      </w:r>
      <w:bookmarkStart w:id="129" w:name="_Int_fTe9FiPA"/>
      <w:r w:rsidRPr="1B62D7D4">
        <w:rPr>
          <w:rStyle w:val="normaltextrun"/>
          <w:rFonts w:ascii="Calibri" w:eastAsiaTheme="majorEastAsia" w:hAnsi="Calibri" w:cs="Calibri"/>
          <w:sz w:val="22"/>
          <w:szCs w:val="22"/>
        </w:rPr>
        <w:t>role(s)</w:t>
      </w:r>
      <w:bookmarkEnd w:id="129"/>
      <w:r w:rsidRPr="1B62D7D4">
        <w:rPr>
          <w:rStyle w:val="normaltextrun"/>
          <w:rFonts w:ascii="Calibri" w:eastAsiaTheme="majorEastAsia" w:hAnsi="Calibri" w:cs="Calibri"/>
          <w:sz w:val="22"/>
          <w:szCs w:val="22"/>
        </w:rPr>
        <w:t> each person has. </w:t>
      </w:r>
      <w:r w:rsidRPr="1B62D7D4">
        <w:rPr>
          <w:rStyle w:val="eop"/>
          <w:rFonts w:ascii="Calibri" w:hAnsi="Calibri" w:cs="Calibri"/>
          <w:sz w:val="22"/>
          <w:szCs w:val="22"/>
        </w:rPr>
        <w:t> </w:t>
      </w:r>
    </w:p>
    <w:p w14:paraId="04446457" w14:textId="77777777" w:rsidR="009209F4" w:rsidRDefault="7CA212E1" w:rsidP="1B62D7D4">
      <w:pPr>
        <w:pStyle w:val="ListParagraph"/>
        <w:numPr>
          <w:ilvl w:val="0"/>
          <w:numId w:val="27"/>
        </w:numPr>
        <w:spacing w:after="240"/>
        <w:ind w:left="1080"/>
        <w:textAlignment w:val="baseline"/>
        <w:rPr>
          <w:rFonts w:cs="Calibri"/>
        </w:rPr>
      </w:pPr>
      <w:r w:rsidRPr="1B62D7D4">
        <w:rPr>
          <w:rStyle w:val="normaltextrun"/>
          <w:rFonts w:eastAsiaTheme="majorEastAsia" w:cs="Calibri"/>
        </w:rPr>
        <w:t>Mitigation options for </w:t>
      </w:r>
      <w:r w:rsidRPr="1B62D7D4">
        <w:rPr>
          <w:rStyle w:val="normaltextrun"/>
          <w:rFonts w:eastAsiaTheme="majorEastAsia" w:cs="Calibri"/>
          <w:b/>
          <w:bCs/>
        </w:rPr>
        <w:t>planners </w:t>
      </w:r>
      <w:r w:rsidRPr="1B62D7D4">
        <w:rPr>
          <w:rStyle w:val="normaltextrun"/>
          <w:rFonts w:eastAsiaTheme="majorEastAsia" w:cs="Calibri"/>
        </w:rPr>
        <w:t>with relevant financial relationships: </w:t>
      </w:r>
      <w:r w:rsidRPr="1B62D7D4">
        <w:rPr>
          <w:rStyle w:val="eop"/>
          <w:rFonts w:cs="Calibri"/>
        </w:rPr>
        <w:t> </w:t>
      </w:r>
    </w:p>
    <w:p w14:paraId="4ECA20AA" w14:textId="77777777" w:rsidR="009209F4" w:rsidRDefault="7CA212E1" w:rsidP="1B62D7D4">
      <w:pPr>
        <w:pStyle w:val="paragraph"/>
        <w:numPr>
          <w:ilvl w:val="0"/>
          <w:numId w:val="100"/>
        </w:numPr>
        <w:spacing w:before="0" w:beforeAutospacing="0" w:after="240" w:afterAutospacing="0"/>
        <w:ind w:left="1800"/>
        <w:textAlignment w:val="baseline"/>
        <w:rPr>
          <w:rFonts w:ascii="Calibri" w:hAnsi="Calibri" w:cs="Calibri"/>
          <w:sz w:val="22"/>
          <w:szCs w:val="22"/>
        </w:rPr>
      </w:pPr>
      <w:r w:rsidRPr="1B62D7D4">
        <w:rPr>
          <w:rStyle w:val="normaltextrun"/>
          <w:rFonts w:ascii="Calibri" w:eastAsiaTheme="majorEastAsia" w:hAnsi="Calibri" w:cs="Calibri"/>
          <w:sz w:val="22"/>
          <w:szCs w:val="22"/>
        </w:rPr>
        <w:t>Divest the financial relationship </w:t>
      </w:r>
      <w:r w:rsidRPr="1B62D7D4">
        <w:rPr>
          <w:rStyle w:val="eop"/>
          <w:rFonts w:ascii="Calibri" w:hAnsi="Calibri" w:cs="Calibri"/>
          <w:sz w:val="22"/>
          <w:szCs w:val="22"/>
        </w:rPr>
        <w:t> </w:t>
      </w:r>
    </w:p>
    <w:p w14:paraId="3B540967" w14:textId="77777777" w:rsidR="009209F4" w:rsidRDefault="7CA212E1" w:rsidP="1B62D7D4">
      <w:pPr>
        <w:pStyle w:val="paragraph"/>
        <w:numPr>
          <w:ilvl w:val="0"/>
          <w:numId w:val="61"/>
        </w:numPr>
        <w:spacing w:before="0" w:beforeAutospacing="0" w:after="240" w:afterAutospacing="0"/>
        <w:ind w:left="1800"/>
        <w:textAlignment w:val="baseline"/>
        <w:rPr>
          <w:rFonts w:ascii="Calibri" w:hAnsi="Calibri" w:cs="Calibri"/>
          <w:sz w:val="22"/>
          <w:szCs w:val="22"/>
        </w:rPr>
      </w:pPr>
      <w:r w:rsidRPr="1B62D7D4">
        <w:rPr>
          <w:rStyle w:val="normaltextrun"/>
          <w:rFonts w:ascii="Calibri" w:eastAsiaTheme="majorEastAsia" w:hAnsi="Calibri" w:cs="Calibri"/>
          <w:sz w:val="22"/>
          <w:szCs w:val="22"/>
        </w:rPr>
        <w:t>Recusal from controlling aspects of planning and content with which there is a financial relationship</w:t>
      </w:r>
      <w:r w:rsidRPr="1B62D7D4">
        <w:rPr>
          <w:rStyle w:val="eop"/>
          <w:rFonts w:ascii="Calibri" w:hAnsi="Calibri" w:cs="Calibri"/>
          <w:sz w:val="22"/>
          <w:szCs w:val="22"/>
        </w:rPr>
        <w:t> </w:t>
      </w:r>
    </w:p>
    <w:p w14:paraId="21F9809F" w14:textId="3ADF318C" w:rsidR="009209F4" w:rsidRDefault="7CA212E1" w:rsidP="1B62D7D4">
      <w:pPr>
        <w:pStyle w:val="paragraph"/>
        <w:numPr>
          <w:ilvl w:val="0"/>
          <w:numId w:val="44"/>
        </w:numPr>
        <w:spacing w:before="0" w:beforeAutospacing="0" w:after="240" w:afterAutospacing="0"/>
        <w:ind w:left="1800"/>
        <w:textAlignment w:val="baseline"/>
        <w:rPr>
          <w:rFonts w:ascii="Calibri" w:hAnsi="Calibri" w:cs="Calibri"/>
          <w:sz w:val="22"/>
          <w:szCs w:val="22"/>
        </w:rPr>
      </w:pPr>
      <w:r w:rsidRPr="1B62D7D4">
        <w:rPr>
          <w:rStyle w:val="normaltextrun"/>
          <w:rFonts w:ascii="Calibri" w:eastAsiaTheme="majorEastAsia" w:hAnsi="Calibri" w:cs="Calibri"/>
          <w:sz w:val="22"/>
          <w:szCs w:val="22"/>
        </w:rPr>
        <w:t>REQUIRED: Peer review of planning decisions by </w:t>
      </w:r>
      <w:proofErr w:type="gramStart"/>
      <w:r w:rsidRPr="1B62D7D4">
        <w:rPr>
          <w:rStyle w:val="normaltextrun"/>
          <w:rFonts w:ascii="Calibri" w:eastAsiaTheme="majorEastAsia" w:hAnsi="Calibri" w:cs="Calibri"/>
          <w:sz w:val="22"/>
          <w:szCs w:val="22"/>
        </w:rPr>
        <w:t>persons</w:t>
      </w:r>
      <w:proofErr w:type="gramEnd"/>
      <w:r w:rsidRPr="1B62D7D4">
        <w:rPr>
          <w:rStyle w:val="normaltextrun"/>
          <w:rFonts w:ascii="Calibri" w:eastAsiaTheme="majorEastAsia" w:hAnsi="Calibri" w:cs="Calibri"/>
          <w:sz w:val="22"/>
          <w:szCs w:val="22"/>
        </w:rPr>
        <w:t> without relevant financial relationships, or without overlapping financial relationships. </w:t>
      </w:r>
      <w:r w:rsidR="5F9139DA" w:rsidRPr="1B62D7D4">
        <w:rPr>
          <w:rStyle w:val="normaltextrun"/>
          <w:rFonts w:ascii="Calibri" w:eastAsiaTheme="majorEastAsia" w:hAnsi="Calibri" w:cs="Calibri"/>
          <w:sz w:val="22"/>
          <w:szCs w:val="22"/>
        </w:rPr>
        <w:t>C</w:t>
      </w:r>
      <w:r w:rsidRPr="1B62D7D4">
        <w:rPr>
          <w:rStyle w:val="normaltextrun"/>
          <w:rFonts w:ascii="Calibri" w:eastAsiaTheme="majorEastAsia" w:hAnsi="Calibri" w:cs="Calibri"/>
          <w:sz w:val="22"/>
          <w:szCs w:val="22"/>
        </w:rPr>
        <w:t>ompletion of a Planning Validation Form.</w:t>
      </w:r>
      <w:r w:rsidRPr="1B62D7D4">
        <w:rPr>
          <w:rStyle w:val="eop"/>
          <w:rFonts w:ascii="Calibri" w:hAnsi="Calibri" w:cs="Calibri"/>
          <w:sz w:val="22"/>
          <w:szCs w:val="22"/>
        </w:rPr>
        <w:t> </w:t>
      </w:r>
    </w:p>
    <w:p w14:paraId="7BC8232F" w14:textId="77777777" w:rsidR="009209F4" w:rsidRDefault="7CA212E1" w:rsidP="1B62D7D4">
      <w:pPr>
        <w:pStyle w:val="ListParagraph"/>
        <w:numPr>
          <w:ilvl w:val="0"/>
          <w:numId w:val="76"/>
        </w:numPr>
        <w:spacing w:after="240"/>
        <w:ind w:left="1080"/>
        <w:textAlignment w:val="baseline"/>
        <w:rPr>
          <w:rFonts w:cs="Calibri"/>
        </w:rPr>
      </w:pPr>
      <w:r w:rsidRPr="1B62D7D4">
        <w:rPr>
          <w:rStyle w:val="normaltextrun"/>
          <w:rFonts w:eastAsiaTheme="majorEastAsia" w:cs="Calibri"/>
        </w:rPr>
        <w:t>Mitigation options for </w:t>
      </w:r>
      <w:r w:rsidRPr="1B62D7D4">
        <w:rPr>
          <w:rStyle w:val="normaltextrun"/>
          <w:rFonts w:eastAsiaTheme="majorEastAsia" w:cs="Calibri"/>
          <w:b/>
          <w:bCs/>
        </w:rPr>
        <w:t>faculty, speakers and others</w:t>
      </w:r>
      <w:r w:rsidRPr="1B62D7D4">
        <w:rPr>
          <w:rStyle w:val="normaltextrun"/>
          <w:rFonts w:eastAsiaTheme="majorEastAsia" w:cs="Calibri"/>
        </w:rPr>
        <w:t>: </w:t>
      </w:r>
      <w:r w:rsidRPr="1B62D7D4">
        <w:rPr>
          <w:rStyle w:val="eop"/>
          <w:rFonts w:cs="Calibri"/>
        </w:rPr>
        <w:t> </w:t>
      </w:r>
    </w:p>
    <w:p w14:paraId="47FAB098" w14:textId="77777777" w:rsidR="009209F4" w:rsidRDefault="7CA212E1" w:rsidP="1B62D7D4">
      <w:pPr>
        <w:pStyle w:val="paragraph"/>
        <w:numPr>
          <w:ilvl w:val="0"/>
          <w:numId w:val="20"/>
        </w:numPr>
        <w:spacing w:before="0" w:beforeAutospacing="0" w:after="240" w:afterAutospacing="0"/>
        <w:ind w:left="1800"/>
        <w:textAlignment w:val="baseline"/>
        <w:rPr>
          <w:rFonts w:ascii="Calibri" w:hAnsi="Calibri" w:cs="Calibri"/>
          <w:sz w:val="22"/>
          <w:szCs w:val="22"/>
        </w:rPr>
      </w:pPr>
      <w:r w:rsidRPr="1B62D7D4">
        <w:rPr>
          <w:rStyle w:val="normaltextrun"/>
          <w:rFonts w:ascii="Calibri" w:eastAsiaTheme="majorEastAsia" w:hAnsi="Calibri" w:cs="Calibri"/>
          <w:sz w:val="22"/>
          <w:szCs w:val="22"/>
        </w:rPr>
        <w:t>Divest the financial relationship </w:t>
      </w:r>
      <w:r w:rsidRPr="1B62D7D4">
        <w:rPr>
          <w:rStyle w:val="eop"/>
          <w:rFonts w:ascii="Calibri" w:hAnsi="Calibri" w:cs="Calibri"/>
          <w:sz w:val="22"/>
          <w:szCs w:val="22"/>
        </w:rPr>
        <w:t> </w:t>
      </w:r>
    </w:p>
    <w:p w14:paraId="77558E0F" w14:textId="77777777" w:rsidR="009209F4" w:rsidRDefault="7CA212E1" w:rsidP="1B62D7D4">
      <w:pPr>
        <w:pStyle w:val="paragraph"/>
        <w:numPr>
          <w:ilvl w:val="0"/>
          <w:numId w:val="19"/>
        </w:numPr>
        <w:spacing w:before="0" w:beforeAutospacing="0" w:after="240" w:afterAutospacing="0"/>
        <w:ind w:left="1800"/>
        <w:textAlignment w:val="baseline"/>
        <w:rPr>
          <w:rFonts w:ascii="Calibri" w:hAnsi="Calibri" w:cs="Calibri"/>
          <w:sz w:val="22"/>
          <w:szCs w:val="22"/>
        </w:rPr>
      </w:pPr>
      <w:r w:rsidRPr="1B62D7D4">
        <w:rPr>
          <w:rStyle w:val="normaltextrun"/>
          <w:rFonts w:ascii="Calibri" w:eastAsiaTheme="majorEastAsia" w:hAnsi="Calibri" w:cs="Calibri"/>
          <w:sz w:val="22"/>
          <w:szCs w:val="22"/>
        </w:rPr>
        <w:t>Attest that clinical recommendations are evidence-based and free of commercial bias (e.g., peer-reviewed literature, adhering to evidence-based practice guidelines, free of logos, etc.) </w:t>
      </w:r>
      <w:r w:rsidRPr="1B62D7D4">
        <w:rPr>
          <w:rStyle w:val="eop"/>
          <w:rFonts w:ascii="Calibri" w:hAnsi="Calibri" w:cs="Calibri"/>
          <w:sz w:val="22"/>
          <w:szCs w:val="22"/>
        </w:rPr>
        <w:t> </w:t>
      </w:r>
    </w:p>
    <w:p w14:paraId="2837C34C" w14:textId="77777777" w:rsidR="009209F4" w:rsidRDefault="7CA212E1" w:rsidP="1B62D7D4">
      <w:pPr>
        <w:pStyle w:val="paragraph"/>
        <w:numPr>
          <w:ilvl w:val="0"/>
          <w:numId w:val="10"/>
        </w:numPr>
        <w:spacing w:before="0" w:beforeAutospacing="0" w:after="240" w:afterAutospacing="0"/>
        <w:ind w:left="1800"/>
        <w:textAlignment w:val="baseline"/>
        <w:rPr>
          <w:rFonts w:ascii="Calibri" w:hAnsi="Calibri" w:cs="Calibri"/>
          <w:sz w:val="22"/>
          <w:szCs w:val="22"/>
        </w:rPr>
      </w:pPr>
      <w:r w:rsidRPr="1B62D7D4">
        <w:rPr>
          <w:rStyle w:val="normaltextrun"/>
          <w:rFonts w:ascii="Calibri" w:eastAsiaTheme="majorEastAsia" w:hAnsi="Calibri" w:cs="Calibri"/>
          <w:sz w:val="22"/>
          <w:szCs w:val="22"/>
        </w:rPr>
        <w:t>REQUIRED: Peer review of content by faculty without relevant financial relationships, or without overlapping financial relationships. Completion of a Content Validation form.</w:t>
      </w:r>
      <w:r w:rsidRPr="1B62D7D4">
        <w:rPr>
          <w:rStyle w:val="eop"/>
          <w:rFonts w:ascii="Calibri" w:hAnsi="Calibri" w:cs="Calibri"/>
          <w:sz w:val="22"/>
          <w:szCs w:val="22"/>
        </w:rPr>
        <w:t> </w:t>
      </w:r>
    </w:p>
    <w:p w14:paraId="7E4BF92C" w14:textId="77777777" w:rsidR="009209F4" w:rsidRDefault="7CA212E1" w:rsidP="1B62D7D4">
      <w:pPr>
        <w:pStyle w:val="paragraph"/>
        <w:numPr>
          <w:ilvl w:val="0"/>
          <w:numId w:val="82"/>
        </w:numPr>
        <w:tabs>
          <w:tab w:val="clear" w:pos="720"/>
        </w:tabs>
        <w:spacing w:before="0" w:beforeAutospacing="0" w:after="240" w:afterAutospacing="0"/>
        <w:ind w:left="360"/>
        <w:textAlignment w:val="baseline"/>
        <w:rPr>
          <w:rFonts w:ascii="Calibri" w:hAnsi="Calibri" w:cs="Calibri"/>
          <w:sz w:val="22"/>
          <w:szCs w:val="22"/>
        </w:rPr>
      </w:pPr>
      <w:r w:rsidRPr="1B62D7D4">
        <w:rPr>
          <w:rStyle w:val="normaltextrun"/>
          <w:rFonts w:ascii="Calibri" w:eastAsiaTheme="majorEastAsia" w:hAnsi="Calibri" w:cs="Calibri"/>
          <w:sz w:val="22"/>
          <w:szCs w:val="22"/>
        </w:rPr>
        <w:t>Document the mitigation strategy(</w:t>
      </w:r>
      <w:proofErr w:type="spellStart"/>
      <w:r w:rsidRPr="1B62D7D4">
        <w:rPr>
          <w:rStyle w:val="normaltextrun"/>
          <w:rFonts w:ascii="Calibri" w:eastAsiaTheme="majorEastAsia" w:hAnsi="Calibri" w:cs="Calibri"/>
          <w:sz w:val="22"/>
          <w:szCs w:val="22"/>
        </w:rPr>
        <w:t>ies</w:t>
      </w:r>
      <w:proofErr w:type="spellEnd"/>
      <w:r w:rsidRPr="1B62D7D4">
        <w:rPr>
          <w:rStyle w:val="normaltextrun"/>
          <w:rFonts w:ascii="Calibri" w:eastAsiaTheme="majorEastAsia" w:hAnsi="Calibri" w:cs="Calibri"/>
          <w:sz w:val="22"/>
          <w:szCs w:val="22"/>
        </w:rPr>
        <w:t>) used for each faculty with relevant financial relationships using the Excel spreadsheet titled “Speaker/Faculty Spreadsheet”.</w:t>
      </w:r>
      <w:r w:rsidRPr="1B62D7D4">
        <w:rPr>
          <w:rStyle w:val="eop"/>
          <w:rFonts w:ascii="Calibri" w:hAnsi="Calibri" w:cs="Calibri"/>
          <w:sz w:val="22"/>
          <w:szCs w:val="22"/>
        </w:rPr>
        <w:t> </w:t>
      </w:r>
    </w:p>
    <w:p w14:paraId="0B9C5A14" w14:textId="31966EB6" w:rsidR="00EA6484" w:rsidRDefault="2081AFD7" w:rsidP="1B62D7D4">
      <w:pPr>
        <w:pStyle w:val="Heading2"/>
        <w:spacing w:before="0" w:after="240"/>
        <w:rPr>
          <w:rFonts w:ascii="Calibri" w:hAnsi="Calibri"/>
        </w:rPr>
      </w:pPr>
      <w:bookmarkStart w:id="130" w:name="_Toc707711141"/>
      <w:bookmarkStart w:id="131" w:name="_Toc239120053"/>
      <w:bookmarkStart w:id="132" w:name="_Toc238829278"/>
      <w:r w:rsidRPr="1B62D7D4">
        <w:rPr>
          <w:rFonts w:ascii="Calibri" w:hAnsi="Calibri"/>
        </w:rPr>
        <w:t>1</w:t>
      </w:r>
      <w:r w:rsidR="21D0008A" w:rsidRPr="1B62D7D4">
        <w:rPr>
          <w:rFonts w:ascii="Calibri" w:hAnsi="Calibri"/>
        </w:rPr>
        <w:t>2</w:t>
      </w:r>
      <w:r w:rsidRPr="1B62D7D4">
        <w:rPr>
          <w:rFonts w:ascii="Calibri" w:hAnsi="Calibri"/>
        </w:rPr>
        <w:t>.4 Disclosure to learners</w:t>
      </w:r>
      <w:bookmarkEnd w:id="130"/>
      <w:bookmarkEnd w:id="131"/>
      <w:bookmarkEnd w:id="132"/>
    </w:p>
    <w:p w14:paraId="1C447B2D" w14:textId="5543B48B" w:rsidR="009209F4" w:rsidRDefault="7CA212E1" w:rsidP="1B62D7D4">
      <w:pPr>
        <w:pStyle w:val="paragraph"/>
        <w:spacing w:before="0" w:beforeAutospacing="0" w:after="240" w:afterAutospacing="0"/>
        <w:ind w:right="720"/>
        <w:textAlignment w:val="baseline"/>
        <w:rPr>
          <w:rFonts w:ascii="Segoe UI" w:hAnsi="Segoe UI" w:cs="Segoe UI"/>
          <w:sz w:val="18"/>
          <w:szCs w:val="18"/>
        </w:rPr>
      </w:pPr>
      <w:r w:rsidRPr="1B62D7D4">
        <w:rPr>
          <w:rStyle w:val="normaltextrun"/>
          <w:rFonts w:ascii="Calibri" w:hAnsi="Calibri" w:cs="Calibri"/>
          <w:sz w:val="22"/>
          <w:szCs w:val="22"/>
        </w:rPr>
        <w:t>The Office of CME requires disclosure of relevant financial relationships to learners </w:t>
      </w:r>
      <w:r w:rsidRPr="1B62D7D4">
        <w:rPr>
          <w:rStyle w:val="normaltextrun"/>
          <w:rFonts w:ascii="Calibri" w:hAnsi="Calibri" w:cs="Calibri"/>
          <w:b/>
          <w:bCs/>
          <w:sz w:val="22"/>
          <w:szCs w:val="22"/>
        </w:rPr>
        <w:t>before</w:t>
      </w:r>
      <w:r w:rsidRPr="1B62D7D4">
        <w:rPr>
          <w:rStyle w:val="normaltextrun"/>
          <w:rFonts w:ascii="Calibri" w:hAnsi="Calibri" w:cs="Calibri"/>
          <w:sz w:val="22"/>
          <w:szCs w:val="22"/>
        </w:rPr>
        <w:t> engaging with the accredited education</w:t>
      </w:r>
      <w:r w:rsidRPr="1B62D7D4">
        <w:rPr>
          <w:rStyle w:val="eop"/>
          <w:rFonts w:ascii="Calibri" w:hAnsi="Calibri" w:cs="Calibri"/>
          <w:sz w:val="22"/>
          <w:szCs w:val="22"/>
        </w:rPr>
        <w:t> </w:t>
      </w:r>
    </w:p>
    <w:p w14:paraId="0A362B8B" w14:textId="77777777" w:rsidR="009209F4" w:rsidRDefault="7CA212E1" w:rsidP="1B62D7D4">
      <w:pPr>
        <w:pStyle w:val="paragraph"/>
        <w:spacing w:before="0" w:beforeAutospacing="0" w:after="240" w:afterAutospacing="0"/>
        <w:ind w:right="720"/>
        <w:textAlignment w:val="baseline"/>
        <w:rPr>
          <w:rFonts w:ascii="Segoe UI" w:hAnsi="Segoe UI" w:cs="Segoe UI"/>
          <w:sz w:val="18"/>
          <w:szCs w:val="18"/>
        </w:rPr>
      </w:pPr>
      <w:r w:rsidRPr="1B62D7D4">
        <w:rPr>
          <w:rStyle w:val="normaltextrun"/>
          <w:rFonts w:ascii="Calibri" w:hAnsi="Calibri" w:cs="Calibri"/>
          <w:sz w:val="22"/>
          <w:szCs w:val="22"/>
        </w:rPr>
        <w:t> </w:t>
      </w:r>
      <w:r w:rsidRPr="1B62D7D4">
        <w:rPr>
          <w:rStyle w:val="eop"/>
          <w:rFonts w:ascii="Calibri" w:hAnsi="Calibri" w:cs="Calibri"/>
          <w:sz w:val="22"/>
          <w:szCs w:val="22"/>
        </w:rPr>
        <w:t> </w:t>
      </w:r>
    </w:p>
    <w:p w14:paraId="5B311DD4" w14:textId="77777777" w:rsidR="009209F4" w:rsidRPr="001F4196" w:rsidRDefault="7CA212E1" w:rsidP="1B62D7D4">
      <w:pPr>
        <w:spacing w:after="240"/>
        <w:ind w:right="720"/>
        <w:textAlignment w:val="baseline"/>
        <w:rPr>
          <w:rFonts w:ascii="Segoe UI" w:hAnsi="Segoe UI" w:cs="Segoe UI"/>
          <w:sz w:val="18"/>
          <w:szCs w:val="18"/>
        </w:rPr>
      </w:pPr>
      <w:r w:rsidRPr="1B62D7D4">
        <w:rPr>
          <w:rStyle w:val="normaltextrun"/>
          <w:rFonts w:cs="Calibri"/>
          <w:u w:val="single"/>
        </w:rPr>
        <w:t>If there are </w:t>
      </w:r>
      <w:r w:rsidRPr="1B62D7D4">
        <w:rPr>
          <w:rStyle w:val="normaltextrun"/>
          <w:rFonts w:cs="Calibri"/>
          <w:b/>
          <w:bCs/>
          <w:u w:val="single"/>
        </w:rPr>
        <w:t>NO</w:t>
      </w:r>
      <w:r w:rsidRPr="1B62D7D4">
        <w:rPr>
          <w:rStyle w:val="normaltextrun"/>
          <w:rFonts w:cs="Calibri"/>
          <w:u w:val="single"/>
        </w:rPr>
        <w:t> relevant financial relationships:</w:t>
      </w:r>
      <w:r w:rsidRPr="1B62D7D4">
        <w:rPr>
          <w:rStyle w:val="normaltextrun"/>
          <w:rFonts w:cs="Calibri"/>
        </w:rPr>
        <w:t> </w:t>
      </w:r>
      <w:r w:rsidRPr="1B62D7D4">
        <w:rPr>
          <w:rStyle w:val="eop"/>
          <w:rFonts w:cs="Calibri"/>
        </w:rPr>
        <w:t> </w:t>
      </w:r>
    </w:p>
    <w:p w14:paraId="1C6A84B8" w14:textId="66D8FAF0" w:rsidR="009209F4" w:rsidRDefault="7CA212E1" w:rsidP="1B62D7D4">
      <w:pPr>
        <w:pStyle w:val="paragraph"/>
        <w:spacing w:before="0" w:beforeAutospacing="0" w:after="240" w:afterAutospacing="0"/>
        <w:ind w:right="720"/>
        <w:textAlignment w:val="baseline"/>
        <w:rPr>
          <w:rFonts w:ascii="Segoe UI" w:hAnsi="Segoe UI" w:cs="Segoe UI"/>
          <w:sz w:val="18"/>
          <w:szCs w:val="18"/>
        </w:rPr>
      </w:pPr>
      <w:r w:rsidRPr="1B62D7D4">
        <w:rPr>
          <w:rStyle w:val="normaltextrun"/>
          <w:rFonts w:ascii="Calibri" w:hAnsi="Calibri" w:cs="Calibri"/>
          <w:sz w:val="22"/>
          <w:szCs w:val="22"/>
        </w:rPr>
        <w:t>Inform learners that planners, faculty, and others in control of content (either individually or as a group) have no relevant financial relationships with ineligible companies. </w:t>
      </w:r>
      <w:r w:rsidRPr="1B62D7D4">
        <w:rPr>
          <w:rStyle w:val="eop"/>
          <w:rFonts w:ascii="Calibri" w:hAnsi="Calibri" w:cs="Calibri"/>
          <w:sz w:val="22"/>
          <w:szCs w:val="22"/>
        </w:rPr>
        <w:t> </w:t>
      </w:r>
    </w:p>
    <w:p w14:paraId="3D724DBA" w14:textId="77777777" w:rsidR="009209F4" w:rsidRDefault="7CA212E1" w:rsidP="1B62D7D4">
      <w:pPr>
        <w:pStyle w:val="paragraph"/>
        <w:spacing w:before="0" w:beforeAutospacing="0" w:after="240" w:afterAutospacing="0"/>
        <w:ind w:right="720"/>
        <w:textAlignment w:val="baseline"/>
        <w:rPr>
          <w:rFonts w:ascii="Segoe UI" w:hAnsi="Segoe UI" w:cs="Segoe UI"/>
          <w:sz w:val="18"/>
          <w:szCs w:val="18"/>
        </w:rPr>
      </w:pPr>
      <w:r w:rsidRPr="1B62D7D4">
        <w:rPr>
          <w:rStyle w:val="normaltextrun"/>
          <w:rFonts w:ascii="Calibri" w:hAnsi="Calibri" w:cs="Calibri"/>
          <w:b/>
          <w:bCs/>
          <w:sz w:val="22"/>
          <w:szCs w:val="22"/>
        </w:rPr>
        <w:lastRenderedPageBreak/>
        <w:t>Example:</w:t>
      </w:r>
      <w:r w:rsidRPr="1B62D7D4">
        <w:rPr>
          <w:rStyle w:val="normaltextrun"/>
          <w:rFonts w:ascii="Calibri" w:hAnsi="Calibri" w:cs="Calibri"/>
          <w:sz w:val="22"/>
          <w:szCs w:val="22"/>
        </w:rPr>
        <w:t> Dr. Smith, a speaker for this educational activity, has no relevant financial relationships with ineligible companies to disclose. </w:t>
      </w:r>
      <w:r w:rsidRPr="1B62D7D4">
        <w:rPr>
          <w:rStyle w:val="eop"/>
          <w:rFonts w:ascii="Calibri" w:hAnsi="Calibri" w:cs="Calibri"/>
          <w:sz w:val="22"/>
          <w:szCs w:val="22"/>
        </w:rPr>
        <w:t> </w:t>
      </w:r>
    </w:p>
    <w:p w14:paraId="651CABF7" w14:textId="77777777" w:rsidR="009209F4" w:rsidRDefault="7CA212E1" w:rsidP="1B62D7D4">
      <w:pPr>
        <w:pStyle w:val="paragraph"/>
        <w:spacing w:before="0" w:beforeAutospacing="0" w:after="240" w:afterAutospacing="0"/>
        <w:ind w:right="720"/>
        <w:textAlignment w:val="baseline"/>
        <w:rPr>
          <w:rFonts w:ascii="Segoe UI" w:hAnsi="Segoe UI" w:cs="Segoe UI"/>
          <w:sz w:val="18"/>
          <w:szCs w:val="18"/>
        </w:rPr>
      </w:pPr>
      <w:r w:rsidRPr="1B62D7D4">
        <w:rPr>
          <w:rStyle w:val="normaltextrun"/>
          <w:rFonts w:ascii="Calibri" w:hAnsi="Calibri" w:cs="Calibri"/>
          <w:b/>
          <w:bCs/>
          <w:sz w:val="22"/>
          <w:szCs w:val="22"/>
        </w:rPr>
        <w:t>Example:</w:t>
      </w:r>
      <w:r w:rsidRPr="1B62D7D4">
        <w:rPr>
          <w:rStyle w:val="normaltextrun"/>
          <w:rFonts w:ascii="Calibri" w:hAnsi="Calibri" w:cs="Calibri"/>
          <w:sz w:val="22"/>
          <w:szCs w:val="22"/>
        </w:rPr>
        <w:t> Sam Davis, Dr. Jamie Brown, and Alex Lee, planners of this educational activity, have no relevant financial relationships with ineligible companies to disclose. </w:t>
      </w:r>
      <w:r w:rsidRPr="1B62D7D4">
        <w:rPr>
          <w:rStyle w:val="eop"/>
          <w:rFonts w:ascii="Calibri" w:hAnsi="Calibri" w:cs="Calibri"/>
          <w:sz w:val="22"/>
          <w:szCs w:val="22"/>
        </w:rPr>
        <w:t> </w:t>
      </w:r>
    </w:p>
    <w:p w14:paraId="17FE02F1" w14:textId="77777777" w:rsidR="009209F4" w:rsidRDefault="7CA212E1" w:rsidP="1B62D7D4">
      <w:pPr>
        <w:pStyle w:val="paragraph"/>
        <w:spacing w:before="0" w:beforeAutospacing="0" w:after="240" w:afterAutospacing="0"/>
        <w:ind w:right="720"/>
        <w:textAlignment w:val="baseline"/>
        <w:rPr>
          <w:rFonts w:ascii="Segoe UI" w:hAnsi="Segoe UI" w:cs="Segoe UI"/>
          <w:sz w:val="18"/>
          <w:szCs w:val="18"/>
        </w:rPr>
      </w:pPr>
      <w:r w:rsidRPr="1B62D7D4">
        <w:rPr>
          <w:rStyle w:val="normaltextrun"/>
          <w:rFonts w:ascii="Calibri" w:hAnsi="Calibri" w:cs="Calibri"/>
          <w:b/>
          <w:bCs/>
          <w:sz w:val="22"/>
          <w:szCs w:val="22"/>
        </w:rPr>
        <w:t>Example:</w:t>
      </w:r>
      <w:r w:rsidRPr="1B62D7D4">
        <w:rPr>
          <w:rStyle w:val="normaltextrun"/>
          <w:rFonts w:ascii="Calibri" w:hAnsi="Calibri" w:cs="Calibri"/>
          <w:sz w:val="22"/>
          <w:szCs w:val="22"/>
        </w:rPr>
        <w:t> None of the planners or speakers for this educational activity have relevant financial relationships with ineligible companies to disclose. </w:t>
      </w:r>
      <w:r w:rsidRPr="1B62D7D4">
        <w:rPr>
          <w:rStyle w:val="eop"/>
          <w:rFonts w:ascii="Calibri" w:hAnsi="Calibri" w:cs="Calibri"/>
          <w:sz w:val="22"/>
          <w:szCs w:val="22"/>
        </w:rPr>
        <w:t> </w:t>
      </w:r>
    </w:p>
    <w:p w14:paraId="06C393B9" w14:textId="77777777" w:rsidR="009209F4" w:rsidRDefault="7CA212E1" w:rsidP="1B62D7D4">
      <w:pPr>
        <w:pStyle w:val="paragraph"/>
        <w:spacing w:before="0" w:beforeAutospacing="0" w:after="240" w:afterAutospacing="0"/>
        <w:ind w:right="720"/>
        <w:textAlignment w:val="baseline"/>
        <w:rPr>
          <w:rFonts w:ascii="Segoe UI" w:hAnsi="Segoe UI" w:cs="Segoe UI"/>
          <w:sz w:val="18"/>
          <w:szCs w:val="18"/>
        </w:rPr>
      </w:pPr>
      <w:r w:rsidRPr="1B62D7D4">
        <w:rPr>
          <w:rStyle w:val="normaltextrun"/>
          <w:rFonts w:ascii="Calibri" w:hAnsi="Calibri" w:cs="Calibri"/>
          <w:sz w:val="22"/>
          <w:szCs w:val="22"/>
        </w:rPr>
        <w:t> </w:t>
      </w:r>
      <w:r w:rsidRPr="1B62D7D4">
        <w:rPr>
          <w:rStyle w:val="eop"/>
          <w:rFonts w:ascii="Calibri" w:hAnsi="Calibri" w:cs="Calibri"/>
          <w:sz w:val="22"/>
          <w:szCs w:val="22"/>
        </w:rPr>
        <w:t> </w:t>
      </w:r>
    </w:p>
    <w:p w14:paraId="1806CE37" w14:textId="77777777" w:rsidR="009209F4" w:rsidRPr="001F4196" w:rsidRDefault="7CA212E1" w:rsidP="1B62D7D4">
      <w:pPr>
        <w:spacing w:after="240"/>
        <w:ind w:right="720"/>
        <w:textAlignment w:val="baseline"/>
        <w:rPr>
          <w:rFonts w:ascii="Segoe UI" w:hAnsi="Segoe UI" w:cs="Segoe UI"/>
          <w:sz w:val="18"/>
          <w:szCs w:val="18"/>
        </w:rPr>
      </w:pPr>
      <w:r w:rsidRPr="1B62D7D4">
        <w:rPr>
          <w:rStyle w:val="normaltextrun"/>
          <w:rFonts w:cs="Calibri"/>
          <w:u w:val="single"/>
        </w:rPr>
        <w:t>If there </w:t>
      </w:r>
      <w:r w:rsidRPr="1B62D7D4">
        <w:rPr>
          <w:rStyle w:val="normaltextrun"/>
          <w:rFonts w:cs="Calibri"/>
          <w:b/>
          <w:bCs/>
          <w:u w:val="single"/>
        </w:rPr>
        <w:t>ARE</w:t>
      </w:r>
      <w:r w:rsidRPr="1B62D7D4">
        <w:rPr>
          <w:rStyle w:val="normaltextrun"/>
          <w:rFonts w:cs="Calibri"/>
          <w:u w:val="single"/>
        </w:rPr>
        <w:t> relevant financial relationships:</w:t>
      </w:r>
      <w:r w:rsidRPr="1B62D7D4">
        <w:rPr>
          <w:rStyle w:val="normaltextrun"/>
          <w:rFonts w:cs="Calibri"/>
        </w:rPr>
        <w:t> </w:t>
      </w:r>
      <w:r w:rsidRPr="1B62D7D4">
        <w:rPr>
          <w:rStyle w:val="eop"/>
          <w:rFonts w:cs="Calibri"/>
        </w:rPr>
        <w:t> </w:t>
      </w:r>
    </w:p>
    <w:p w14:paraId="25F5C242" w14:textId="73192FED" w:rsidR="009209F4" w:rsidRDefault="7CA212E1" w:rsidP="1B62D7D4">
      <w:pPr>
        <w:pStyle w:val="paragraph"/>
        <w:spacing w:before="0" w:beforeAutospacing="0" w:after="240" w:afterAutospacing="0"/>
        <w:ind w:right="720"/>
        <w:textAlignment w:val="baseline"/>
        <w:rPr>
          <w:rFonts w:ascii="Segoe UI" w:hAnsi="Segoe UI" w:cs="Segoe UI"/>
          <w:sz w:val="18"/>
          <w:szCs w:val="18"/>
        </w:rPr>
      </w:pPr>
      <w:r w:rsidRPr="1B62D7D4">
        <w:rPr>
          <w:rStyle w:val="normaltextrun"/>
          <w:rFonts w:ascii="Calibri" w:hAnsi="Calibri" w:cs="Calibri"/>
          <w:sz w:val="22"/>
          <w:szCs w:val="22"/>
        </w:rPr>
        <w:t>Disclose names(s) of the individuals, name of the ineligible company(</w:t>
      </w:r>
      <w:proofErr w:type="spellStart"/>
      <w:r w:rsidRPr="1B62D7D4">
        <w:rPr>
          <w:rStyle w:val="normaltextrun"/>
          <w:rFonts w:ascii="Calibri" w:hAnsi="Calibri" w:cs="Calibri"/>
          <w:sz w:val="22"/>
          <w:szCs w:val="22"/>
        </w:rPr>
        <w:t>ies</w:t>
      </w:r>
      <w:proofErr w:type="spellEnd"/>
      <w:r w:rsidRPr="1B62D7D4">
        <w:rPr>
          <w:rStyle w:val="normaltextrun"/>
          <w:rFonts w:ascii="Calibri" w:hAnsi="Calibri" w:cs="Calibri"/>
          <w:sz w:val="22"/>
          <w:szCs w:val="22"/>
        </w:rPr>
        <w:t>) with which they have relevant financial relationship(s), the nature of the relationships and a statement that all relevant financial relationships have been mitigated.  </w:t>
      </w:r>
      <w:r w:rsidRPr="1B62D7D4">
        <w:rPr>
          <w:rStyle w:val="eop"/>
          <w:rFonts w:ascii="Calibri" w:hAnsi="Calibri" w:cs="Calibri"/>
          <w:sz w:val="22"/>
          <w:szCs w:val="22"/>
        </w:rPr>
        <w:t> </w:t>
      </w:r>
    </w:p>
    <w:p w14:paraId="602A3737" w14:textId="056D8C7B" w:rsidR="009209F4" w:rsidRDefault="7CA212E1" w:rsidP="1B62D7D4">
      <w:pPr>
        <w:pStyle w:val="paragraph"/>
        <w:spacing w:before="0" w:beforeAutospacing="0" w:after="240" w:afterAutospacing="0"/>
        <w:ind w:right="720"/>
        <w:textAlignment w:val="baseline"/>
        <w:rPr>
          <w:rFonts w:ascii="Segoe UI" w:hAnsi="Segoe UI" w:cs="Segoe UI"/>
          <w:sz w:val="18"/>
          <w:szCs w:val="18"/>
        </w:rPr>
      </w:pPr>
      <w:r w:rsidRPr="1B62D7D4">
        <w:rPr>
          <w:rStyle w:val="normaltextrun"/>
          <w:rFonts w:ascii="Calibri" w:hAnsi="Calibri" w:cs="Calibri"/>
          <w:b/>
          <w:bCs/>
          <w:sz w:val="22"/>
          <w:szCs w:val="22"/>
        </w:rPr>
        <w:t>Example:</w:t>
      </w:r>
      <w:r w:rsidRPr="1B62D7D4">
        <w:rPr>
          <w:rStyle w:val="normaltextrun"/>
          <w:rFonts w:ascii="Calibri" w:hAnsi="Calibri" w:cs="Calibri"/>
          <w:sz w:val="22"/>
          <w:szCs w:val="22"/>
        </w:rPr>
        <w:t> Dr. Julie Garcia, a speaker for this educational activity, is a consultant for ABC Device Company. Dr. Elliot Williams, a planner for the educational activity, has received a research grant from XYZ Pharmaceuticals and is on the speakers’ bureau of QRS Device Company. </w:t>
      </w:r>
      <w:r w:rsidR="33C25547" w:rsidRPr="1B62D7D4">
        <w:rPr>
          <w:rStyle w:val="normaltextrun"/>
          <w:rFonts w:ascii="Calibri" w:hAnsi="Calibri" w:cs="Calibri"/>
          <w:sz w:val="22"/>
          <w:szCs w:val="22"/>
        </w:rPr>
        <w:t>All relevant</w:t>
      </w:r>
      <w:r w:rsidRPr="1B62D7D4">
        <w:rPr>
          <w:rStyle w:val="normaltextrun"/>
          <w:rFonts w:ascii="Calibri" w:hAnsi="Calibri" w:cs="Calibri"/>
          <w:sz w:val="22"/>
          <w:szCs w:val="22"/>
        </w:rPr>
        <w:t> financial relationships for these individuals have been mitigated.  </w:t>
      </w:r>
      <w:r w:rsidRPr="1B62D7D4">
        <w:rPr>
          <w:rStyle w:val="eop"/>
          <w:rFonts w:ascii="Calibri" w:hAnsi="Calibri" w:cs="Calibri"/>
          <w:sz w:val="22"/>
          <w:szCs w:val="22"/>
        </w:rPr>
        <w:t> </w:t>
      </w:r>
    </w:p>
    <w:p w14:paraId="4E951FA2" w14:textId="77777777" w:rsidR="009209F4" w:rsidRDefault="7CA212E1" w:rsidP="1B62D7D4">
      <w:pPr>
        <w:pStyle w:val="paragraph"/>
        <w:spacing w:before="0" w:beforeAutospacing="0" w:after="240" w:afterAutospacing="0"/>
        <w:ind w:right="720"/>
        <w:textAlignment w:val="baseline"/>
        <w:rPr>
          <w:rFonts w:ascii="Segoe UI" w:hAnsi="Segoe UI" w:cs="Segoe UI"/>
          <w:sz w:val="18"/>
          <w:szCs w:val="18"/>
        </w:rPr>
      </w:pPr>
      <w:r w:rsidRPr="1B62D7D4">
        <w:rPr>
          <w:rStyle w:val="normaltextrun"/>
          <w:rFonts w:ascii="Calibri" w:hAnsi="Calibri" w:cs="Calibri"/>
          <w:sz w:val="22"/>
          <w:szCs w:val="22"/>
        </w:rPr>
        <w:t> </w:t>
      </w:r>
      <w:r w:rsidRPr="1B62D7D4">
        <w:rPr>
          <w:rStyle w:val="eop"/>
          <w:rFonts w:ascii="Calibri" w:hAnsi="Calibri" w:cs="Calibri"/>
          <w:sz w:val="22"/>
          <w:szCs w:val="22"/>
        </w:rPr>
        <w:t> </w:t>
      </w:r>
    </w:p>
    <w:p w14:paraId="657C190F" w14:textId="44ABAF74" w:rsidR="009209F4" w:rsidRDefault="7CA212E1" w:rsidP="1B62D7D4">
      <w:pPr>
        <w:pStyle w:val="paragraph"/>
        <w:spacing w:before="0" w:beforeAutospacing="0" w:after="240" w:afterAutospacing="0"/>
        <w:ind w:right="720"/>
        <w:textAlignment w:val="baseline"/>
        <w:rPr>
          <w:rFonts w:ascii="Segoe UI" w:hAnsi="Segoe UI" w:cs="Segoe UI"/>
          <w:sz w:val="18"/>
          <w:szCs w:val="18"/>
        </w:rPr>
      </w:pPr>
      <w:r w:rsidRPr="1B62D7D4">
        <w:rPr>
          <w:rStyle w:val="normaltextrun"/>
          <w:rFonts w:ascii="Calibri" w:hAnsi="Calibri" w:cs="Calibri"/>
          <w:b/>
          <w:bCs/>
          <w:sz w:val="22"/>
          <w:szCs w:val="22"/>
        </w:rPr>
        <w:t>The Office of CME requires that the disclosure information is provided to learners as follows:</w:t>
      </w:r>
      <w:r w:rsidRPr="1B62D7D4">
        <w:rPr>
          <w:rStyle w:val="normaltextrun"/>
          <w:rFonts w:ascii="Calibri" w:hAnsi="Calibri" w:cs="Calibri"/>
          <w:sz w:val="22"/>
          <w:szCs w:val="22"/>
        </w:rPr>
        <w:t> </w:t>
      </w:r>
      <w:r w:rsidRPr="1B62D7D4">
        <w:rPr>
          <w:rStyle w:val="eop"/>
          <w:rFonts w:ascii="Calibri" w:hAnsi="Calibri" w:cs="Calibri"/>
          <w:sz w:val="22"/>
          <w:szCs w:val="22"/>
        </w:rPr>
        <w:t> </w:t>
      </w:r>
    </w:p>
    <w:p w14:paraId="64DA3C5F" w14:textId="77777777" w:rsidR="009209F4" w:rsidRPr="001F4196" w:rsidRDefault="7CA212E1" w:rsidP="1B62D7D4">
      <w:pPr>
        <w:pStyle w:val="ListParagraph"/>
        <w:numPr>
          <w:ilvl w:val="0"/>
          <w:numId w:val="96"/>
        </w:numPr>
        <w:spacing w:after="240"/>
        <w:ind w:right="720"/>
        <w:textAlignment w:val="baseline"/>
        <w:rPr>
          <w:rFonts w:ascii="Segoe UI" w:hAnsi="Segoe UI" w:cs="Segoe UI"/>
          <w:sz w:val="18"/>
          <w:szCs w:val="18"/>
        </w:rPr>
      </w:pPr>
      <w:r w:rsidRPr="1B62D7D4">
        <w:rPr>
          <w:rStyle w:val="normaltextrun"/>
          <w:rFonts w:cs="Calibri"/>
          <w:b/>
          <w:bCs/>
        </w:rPr>
        <w:t>Live or Internet Live Activities: </w:t>
      </w:r>
      <w:r w:rsidRPr="1B62D7D4">
        <w:rPr>
          <w:rStyle w:val="eop"/>
          <w:rFonts w:cs="Calibri"/>
        </w:rPr>
        <w:t> </w:t>
      </w:r>
    </w:p>
    <w:p w14:paraId="234B063E" w14:textId="77777777" w:rsidR="009209F4" w:rsidRDefault="7CA212E1" w:rsidP="1B62D7D4">
      <w:pPr>
        <w:pStyle w:val="paragraph"/>
        <w:numPr>
          <w:ilvl w:val="0"/>
          <w:numId w:val="53"/>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Disclosure information must be available in the printed or electronic activity materials, and available prior to the start of the activity. </w:t>
      </w:r>
      <w:r w:rsidRPr="1B62D7D4">
        <w:rPr>
          <w:rStyle w:val="eop"/>
          <w:rFonts w:ascii="Calibri" w:hAnsi="Calibri" w:cs="Calibri"/>
          <w:sz w:val="22"/>
          <w:szCs w:val="22"/>
        </w:rPr>
        <w:t> </w:t>
      </w:r>
    </w:p>
    <w:p w14:paraId="103B4A6C" w14:textId="77777777" w:rsidR="009209F4" w:rsidRDefault="7CA212E1" w:rsidP="1B62D7D4">
      <w:pPr>
        <w:pStyle w:val="paragraph"/>
        <w:numPr>
          <w:ilvl w:val="0"/>
          <w:numId w:val="53"/>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The “Program Template Form” can be found </w:t>
      </w:r>
      <w:hyperlink r:id="rId34">
        <w:r w:rsidRPr="1B62D7D4">
          <w:rPr>
            <w:rStyle w:val="normaltextrun"/>
            <w:rFonts w:ascii="Calibri" w:hAnsi="Calibri" w:cs="Calibri"/>
            <w:color w:val="0000FF"/>
            <w:sz w:val="22"/>
            <w:szCs w:val="22"/>
            <w:u w:val="single"/>
          </w:rPr>
          <w:t>here</w:t>
        </w:r>
      </w:hyperlink>
      <w:r w:rsidRPr="1B62D7D4">
        <w:rPr>
          <w:rStyle w:val="eop"/>
          <w:rFonts w:ascii="Calibri" w:hAnsi="Calibri" w:cs="Calibri"/>
          <w:sz w:val="22"/>
          <w:szCs w:val="22"/>
        </w:rPr>
        <w:t> </w:t>
      </w:r>
    </w:p>
    <w:p w14:paraId="4DA2D92A" w14:textId="6BFFCF2D" w:rsidR="009209F4" w:rsidRPr="00E14520" w:rsidRDefault="7CA212E1" w:rsidP="1B62D7D4">
      <w:pPr>
        <w:pStyle w:val="ListParagraph"/>
        <w:numPr>
          <w:ilvl w:val="0"/>
          <w:numId w:val="53"/>
        </w:numPr>
        <w:spacing w:after="240"/>
      </w:pPr>
      <w:r w:rsidRPr="1B62D7D4">
        <w:rPr>
          <w:rStyle w:val="normaltextrun"/>
          <w:rFonts w:cs="Calibri"/>
        </w:rPr>
        <w:t>If disclosure information is included in printed materials, it is optional (and not required) for speakers to include disclosure information in their slides.</w:t>
      </w:r>
      <w:r w:rsidR="67F8FD83" w:rsidRPr="1B62D7D4">
        <w:rPr>
          <w:rStyle w:val="normaltextrun"/>
          <w:rFonts w:cs="Calibri"/>
        </w:rPr>
        <w:t xml:space="preserve"> </w:t>
      </w:r>
      <w:r w:rsidR="67F8FD83">
        <w:t xml:space="preserve">Disclosure slide template: </w:t>
      </w:r>
      <w:hyperlink r:id="rId35">
        <w:r w:rsidR="67F8FD83" w:rsidRPr="1B62D7D4">
          <w:rPr>
            <w:color w:val="0563C1"/>
            <w:u w:val="single"/>
          </w:rPr>
          <w:t>Disclosure Slides (pptx)</w:t>
        </w:r>
      </w:hyperlink>
    </w:p>
    <w:p w14:paraId="7B72087B" w14:textId="77777777" w:rsidR="009209F4" w:rsidRDefault="7CA212E1" w:rsidP="1B62D7D4">
      <w:pPr>
        <w:pStyle w:val="paragraph"/>
        <w:numPr>
          <w:ilvl w:val="0"/>
          <w:numId w:val="53"/>
        </w:numPr>
        <w:spacing w:before="0" w:beforeAutospacing="0" w:after="240" w:afterAutospacing="0"/>
        <w:textAlignment w:val="baseline"/>
        <w:rPr>
          <w:rFonts w:ascii="Calibri" w:hAnsi="Calibri" w:cs="Calibri"/>
        </w:rPr>
      </w:pPr>
      <w:r w:rsidRPr="1B62D7D4">
        <w:rPr>
          <w:rStyle w:val="normaltextrun"/>
          <w:rFonts w:ascii="Calibri" w:hAnsi="Calibri" w:cs="Calibri"/>
          <w:sz w:val="22"/>
          <w:szCs w:val="22"/>
        </w:rPr>
        <w:t>If a speaker includes a disclosure slide, the information MUST </w:t>
      </w:r>
      <w:bookmarkStart w:id="133" w:name="_Int_Aucgp6MK"/>
      <w:r w:rsidRPr="1B62D7D4">
        <w:rPr>
          <w:rStyle w:val="normaltextrun"/>
          <w:rFonts w:ascii="Calibri" w:hAnsi="Calibri" w:cs="Calibri"/>
          <w:sz w:val="22"/>
          <w:szCs w:val="22"/>
        </w:rPr>
        <w:t>match</w:t>
      </w:r>
      <w:bookmarkEnd w:id="133"/>
      <w:r w:rsidRPr="1B62D7D4">
        <w:rPr>
          <w:rStyle w:val="normaltextrun"/>
          <w:rFonts w:ascii="Calibri" w:hAnsi="Calibri" w:cs="Calibri"/>
          <w:sz w:val="22"/>
          <w:szCs w:val="22"/>
        </w:rPr>
        <w:t> their CME disclosure form. </w:t>
      </w:r>
      <w:r w:rsidRPr="1B62D7D4">
        <w:rPr>
          <w:rStyle w:val="eop"/>
          <w:rFonts w:ascii="Calibri" w:hAnsi="Calibri" w:cs="Calibri"/>
          <w:sz w:val="22"/>
          <w:szCs w:val="22"/>
        </w:rPr>
        <w:t> </w:t>
      </w:r>
    </w:p>
    <w:p w14:paraId="60BC49EC" w14:textId="77777777" w:rsidR="009209F4" w:rsidRDefault="7CA212E1" w:rsidP="1B62D7D4">
      <w:pPr>
        <w:pStyle w:val="paragraph"/>
        <w:numPr>
          <w:ilvl w:val="0"/>
          <w:numId w:val="53"/>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Speakers may use the Office of CME Disclosure Slide Template, available here: LINK  </w:t>
      </w:r>
      <w:r w:rsidRPr="1B62D7D4">
        <w:rPr>
          <w:rStyle w:val="eop"/>
          <w:rFonts w:ascii="Calibri" w:hAnsi="Calibri" w:cs="Calibri"/>
          <w:sz w:val="22"/>
          <w:szCs w:val="22"/>
        </w:rPr>
        <w:t> </w:t>
      </w:r>
    </w:p>
    <w:p w14:paraId="12A78CC4" w14:textId="1D5C05C0" w:rsidR="009209F4" w:rsidRPr="00E14520" w:rsidRDefault="7CA212E1" w:rsidP="1B62D7D4">
      <w:pPr>
        <w:pStyle w:val="paragraph"/>
        <w:numPr>
          <w:ilvl w:val="0"/>
          <w:numId w:val="96"/>
        </w:numPr>
        <w:spacing w:before="0" w:beforeAutospacing="0" w:after="240" w:afterAutospacing="0"/>
        <w:ind w:right="720"/>
        <w:textAlignment w:val="baseline"/>
        <w:rPr>
          <w:rFonts w:ascii="Segoe UI" w:hAnsi="Segoe UI" w:cs="Segoe UI"/>
          <w:sz w:val="18"/>
          <w:szCs w:val="18"/>
        </w:rPr>
      </w:pPr>
      <w:r w:rsidRPr="1B62D7D4">
        <w:rPr>
          <w:rStyle w:val="normaltextrun"/>
          <w:rFonts w:ascii="Calibri" w:hAnsi="Calibri" w:cs="Calibri"/>
          <w:sz w:val="22"/>
          <w:szCs w:val="22"/>
        </w:rPr>
        <w:t>  </w:t>
      </w:r>
      <w:r w:rsidRPr="1B62D7D4">
        <w:rPr>
          <w:rStyle w:val="eop"/>
          <w:rFonts w:ascii="Calibri" w:hAnsi="Calibri" w:cs="Calibri"/>
          <w:sz w:val="22"/>
          <w:szCs w:val="22"/>
        </w:rPr>
        <w:t> </w:t>
      </w:r>
      <w:r w:rsidRPr="1B62D7D4">
        <w:rPr>
          <w:rStyle w:val="normaltextrun"/>
          <w:rFonts w:ascii="Calibri" w:hAnsi="Calibri" w:cs="Calibri"/>
          <w:b/>
          <w:bCs/>
          <w:sz w:val="22"/>
          <w:szCs w:val="22"/>
        </w:rPr>
        <w:t>Regularly Scheduled Series: </w:t>
      </w:r>
      <w:r w:rsidRPr="1B62D7D4">
        <w:rPr>
          <w:rStyle w:val="eop"/>
          <w:rFonts w:ascii="Calibri" w:hAnsi="Calibri" w:cs="Calibri"/>
          <w:sz w:val="22"/>
          <w:szCs w:val="22"/>
        </w:rPr>
        <w:t> </w:t>
      </w:r>
    </w:p>
    <w:p w14:paraId="40CFE6BD" w14:textId="77777777" w:rsidR="009209F4" w:rsidRDefault="7CA212E1" w:rsidP="1B62D7D4">
      <w:pPr>
        <w:pStyle w:val="paragraph"/>
        <w:numPr>
          <w:ilvl w:val="0"/>
          <w:numId w:val="66"/>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Disclosure information must be provided in the promotional materials, such as flyers or email announcements. </w:t>
      </w:r>
      <w:r w:rsidRPr="1B62D7D4">
        <w:rPr>
          <w:rStyle w:val="eop"/>
          <w:rFonts w:ascii="Calibri" w:hAnsi="Calibri" w:cs="Calibri"/>
          <w:sz w:val="22"/>
          <w:szCs w:val="22"/>
        </w:rPr>
        <w:t> </w:t>
      </w:r>
    </w:p>
    <w:p w14:paraId="02D3A898" w14:textId="77777777" w:rsidR="009209F4" w:rsidRDefault="7CA212E1" w:rsidP="1B62D7D4">
      <w:pPr>
        <w:pStyle w:val="paragraph"/>
        <w:numPr>
          <w:ilvl w:val="0"/>
          <w:numId w:val="66"/>
        </w:numPr>
        <w:spacing w:before="0" w:beforeAutospacing="0" w:after="240" w:afterAutospacing="0"/>
        <w:textAlignment w:val="baseline"/>
        <w:rPr>
          <w:rFonts w:ascii="Calibri" w:hAnsi="Calibri" w:cs="Calibri"/>
        </w:rPr>
      </w:pPr>
      <w:r w:rsidRPr="1B62D7D4">
        <w:rPr>
          <w:rStyle w:val="normaltextrun"/>
          <w:rFonts w:ascii="Calibri" w:hAnsi="Calibri" w:cs="Calibri"/>
          <w:sz w:val="22"/>
          <w:szCs w:val="22"/>
        </w:rPr>
        <w:t>If a speaker includes a disclosure slide, the information MUST </w:t>
      </w:r>
      <w:bookmarkStart w:id="134" w:name="_Int_pm9hntVo"/>
      <w:r w:rsidRPr="1B62D7D4">
        <w:rPr>
          <w:rStyle w:val="normaltextrun"/>
          <w:rFonts w:ascii="Calibri" w:hAnsi="Calibri" w:cs="Calibri"/>
          <w:sz w:val="22"/>
          <w:szCs w:val="22"/>
        </w:rPr>
        <w:t>match</w:t>
      </w:r>
      <w:bookmarkEnd w:id="134"/>
      <w:r w:rsidRPr="1B62D7D4">
        <w:rPr>
          <w:rStyle w:val="normaltextrun"/>
          <w:rFonts w:ascii="Calibri" w:hAnsi="Calibri" w:cs="Calibri"/>
          <w:sz w:val="22"/>
          <w:szCs w:val="22"/>
        </w:rPr>
        <w:t> their CME disclosure form. </w:t>
      </w:r>
      <w:r w:rsidRPr="1B62D7D4">
        <w:rPr>
          <w:rStyle w:val="eop"/>
          <w:rFonts w:ascii="Calibri" w:hAnsi="Calibri" w:cs="Calibri"/>
          <w:sz w:val="22"/>
          <w:szCs w:val="22"/>
        </w:rPr>
        <w:t> </w:t>
      </w:r>
    </w:p>
    <w:p w14:paraId="0CF79116" w14:textId="6A3C0D9D" w:rsidR="009209F4" w:rsidRDefault="7CA212E1" w:rsidP="1B62D7D4">
      <w:pPr>
        <w:pStyle w:val="paragraph"/>
        <w:numPr>
          <w:ilvl w:val="0"/>
          <w:numId w:val="66"/>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lastRenderedPageBreak/>
        <w:t xml:space="preserve">Speakers may use the Office of CME Disclosure Slide Template, available </w:t>
      </w:r>
      <w:hyperlink r:id="rId36" w:history="1">
        <w:r w:rsidRPr="00CB4B72">
          <w:rPr>
            <w:rStyle w:val="Hyperlink"/>
            <w:rFonts w:ascii="Calibri" w:hAnsi="Calibri" w:cs="Calibri"/>
            <w:sz w:val="22"/>
            <w:szCs w:val="22"/>
          </w:rPr>
          <w:t>here</w:t>
        </w:r>
        <w:r w:rsidR="00CB4B72" w:rsidRPr="00CB4B72">
          <w:rPr>
            <w:rStyle w:val="Hyperlink"/>
            <w:rFonts w:ascii="Calibri" w:hAnsi="Calibri" w:cs="Calibri"/>
            <w:sz w:val="22"/>
            <w:szCs w:val="22"/>
          </w:rPr>
          <w:t>.</w:t>
        </w:r>
      </w:hyperlink>
    </w:p>
    <w:p w14:paraId="714516A1" w14:textId="2B8D8C3F" w:rsidR="009209F4" w:rsidRDefault="7CA212E1" w:rsidP="1B62D7D4">
      <w:pPr>
        <w:pStyle w:val="paragraph"/>
        <w:numPr>
          <w:ilvl w:val="0"/>
          <w:numId w:val="66"/>
        </w:numPr>
        <w:spacing w:before="0" w:beforeAutospacing="0" w:after="240" w:afterAutospacing="0"/>
        <w:textAlignment w:val="baseline"/>
        <w:rPr>
          <w:rFonts w:ascii="Segoe UI" w:hAnsi="Segoe UI" w:cs="Segoe UI"/>
          <w:sz w:val="18"/>
          <w:szCs w:val="18"/>
        </w:rPr>
      </w:pPr>
      <w:r w:rsidRPr="1B62D7D4">
        <w:rPr>
          <w:rStyle w:val="normaltextrun"/>
          <w:rFonts w:ascii="Calibri" w:hAnsi="Calibri" w:cs="Calibri"/>
          <w:sz w:val="22"/>
          <w:szCs w:val="22"/>
        </w:rPr>
        <w:t>“Requirements for Promotional Materials” can be found </w:t>
      </w:r>
      <w:hyperlink r:id="rId37">
        <w:r w:rsidRPr="1B62D7D4">
          <w:rPr>
            <w:rStyle w:val="Hyperlink"/>
          </w:rPr>
          <w:t>here</w:t>
        </w:r>
        <w:r w:rsidR="16349C99" w:rsidRPr="1B62D7D4">
          <w:rPr>
            <w:rStyle w:val="Hyperlink"/>
          </w:rPr>
          <w:t>.</w:t>
        </w:r>
      </w:hyperlink>
      <w:r w:rsidRPr="1B62D7D4">
        <w:rPr>
          <w:rStyle w:val="eop"/>
          <w:rFonts w:ascii="Calibri" w:hAnsi="Calibri" w:cs="Calibri"/>
          <w:sz w:val="22"/>
          <w:szCs w:val="22"/>
        </w:rPr>
        <w:t> </w:t>
      </w:r>
    </w:p>
    <w:p w14:paraId="02821C56" w14:textId="77777777" w:rsidR="009209F4" w:rsidRDefault="7CA212E1" w:rsidP="1B62D7D4">
      <w:pPr>
        <w:pStyle w:val="ListParagraph"/>
        <w:numPr>
          <w:ilvl w:val="0"/>
          <w:numId w:val="96"/>
        </w:numPr>
        <w:spacing w:after="240"/>
        <w:ind w:right="720"/>
        <w:textAlignment w:val="baseline"/>
        <w:rPr>
          <w:rFonts w:ascii="Segoe UI" w:hAnsi="Segoe UI" w:cs="Segoe UI"/>
          <w:sz w:val="18"/>
          <w:szCs w:val="18"/>
        </w:rPr>
      </w:pPr>
      <w:r w:rsidRPr="1B62D7D4">
        <w:rPr>
          <w:rStyle w:val="normaltextrun"/>
          <w:rFonts w:cs="Calibri"/>
          <w:b/>
          <w:bCs/>
        </w:rPr>
        <w:t>Webinars, Online Modules, Podcasts: </w:t>
      </w:r>
      <w:r w:rsidRPr="1B62D7D4">
        <w:rPr>
          <w:rStyle w:val="eop"/>
          <w:rFonts w:cs="Calibri"/>
        </w:rPr>
        <w:t> </w:t>
      </w:r>
    </w:p>
    <w:p w14:paraId="5485B215" w14:textId="77777777" w:rsidR="009209F4" w:rsidRDefault="7CA212E1" w:rsidP="1B62D7D4">
      <w:pPr>
        <w:pStyle w:val="paragraph"/>
        <w:numPr>
          <w:ilvl w:val="0"/>
          <w:numId w:val="93"/>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Disclosure information must be easily visible, included on the landing page, and available to the learners prior to them engaging with the educational content. </w:t>
      </w:r>
      <w:r w:rsidRPr="1B62D7D4">
        <w:rPr>
          <w:rStyle w:val="eop"/>
          <w:rFonts w:ascii="Calibri" w:hAnsi="Calibri" w:cs="Calibri"/>
          <w:sz w:val="22"/>
          <w:szCs w:val="22"/>
        </w:rPr>
        <w:t> </w:t>
      </w:r>
    </w:p>
    <w:p w14:paraId="280DBB3B" w14:textId="77777777" w:rsidR="009209F4" w:rsidRDefault="7CA212E1" w:rsidP="1B62D7D4">
      <w:pPr>
        <w:pStyle w:val="paragraph"/>
        <w:spacing w:before="0" w:beforeAutospacing="0" w:after="240" w:afterAutospacing="0"/>
        <w:ind w:right="720"/>
        <w:textAlignment w:val="baseline"/>
        <w:rPr>
          <w:rFonts w:ascii="Segoe UI" w:hAnsi="Segoe UI" w:cs="Segoe UI"/>
          <w:sz w:val="18"/>
          <w:szCs w:val="18"/>
        </w:rPr>
      </w:pPr>
      <w:r w:rsidRPr="1B62D7D4">
        <w:rPr>
          <w:rStyle w:val="normaltextrun"/>
          <w:rFonts w:ascii="Calibri" w:hAnsi="Calibri" w:cs="Calibri"/>
          <w:b/>
          <w:bCs/>
          <w:sz w:val="22"/>
          <w:szCs w:val="22"/>
        </w:rPr>
        <w:t> </w:t>
      </w:r>
      <w:r w:rsidRPr="1B62D7D4">
        <w:rPr>
          <w:rStyle w:val="normaltextrun"/>
          <w:rFonts w:ascii="Calibri" w:hAnsi="Calibri" w:cs="Calibri"/>
          <w:sz w:val="22"/>
          <w:szCs w:val="22"/>
        </w:rPr>
        <w:t> </w:t>
      </w:r>
      <w:r w:rsidRPr="1B62D7D4">
        <w:rPr>
          <w:rStyle w:val="eop"/>
          <w:rFonts w:ascii="Calibri" w:hAnsi="Calibri" w:cs="Calibri"/>
          <w:sz w:val="22"/>
          <w:szCs w:val="22"/>
        </w:rPr>
        <w:t> </w:t>
      </w:r>
    </w:p>
    <w:p w14:paraId="721F51F1" w14:textId="6BF0C02B" w:rsidR="009209F4" w:rsidRDefault="2081AFD7" w:rsidP="1B62D7D4">
      <w:pPr>
        <w:pStyle w:val="Heading2"/>
        <w:spacing w:before="0" w:after="240"/>
        <w:rPr>
          <w:rFonts w:ascii="Calibri" w:hAnsi="Calibri"/>
        </w:rPr>
      </w:pPr>
      <w:bookmarkStart w:id="135" w:name="_Toc874015114"/>
      <w:bookmarkStart w:id="136" w:name="_Toc1263671425"/>
      <w:bookmarkStart w:id="137" w:name="_Toc238829279"/>
      <w:r w:rsidRPr="1B62D7D4">
        <w:rPr>
          <w:rFonts w:ascii="Calibri" w:hAnsi="Calibri"/>
        </w:rPr>
        <w:t>1</w:t>
      </w:r>
      <w:r w:rsidR="0209AE86" w:rsidRPr="1B62D7D4">
        <w:rPr>
          <w:rFonts w:ascii="Calibri" w:hAnsi="Calibri"/>
        </w:rPr>
        <w:t>2</w:t>
      </w:r>
      <w:r w:rsidRPr="1B62D7D4">
        <w:rPr>
          <w:rFonts w:ascii="Calibri" w:hAnsi="Calibri"/>
        </w:rPr>
        <w:t>.5 Last-minute speaker changes</w:t>
      </w:r>
      <w:bookmarkEnd w:id="135"/>
      <w:bookmarkEnd w:id="136"/>
      <w:bookmarkEnd w:id="137"/>
    </w:p>
    <w:p w14:paraId="475A407E" w14:textId="36976E6E" w:rsidR="009209F4" w:rsidRDefault="323FED1A" w:rsidP="1B62D7D4">
      <w:bookmarkStart w:id="138" w:name="_Toc623912860"/>
      <w:r>
        <w:t>In rare circumstances, an activity speaker may change at the last minute. In this circumstance, disclosure of information about relevant financial relationships, and a statement that all relevant relationships have been mitigated, must be disclosed verbally to learners prior to the education being delivered. It is the course director’s responsibility to supply the FSM Office of CME with written verification that appropriate verbal disclosure occurred. The verbal disclosure must follow the same format </w:t>
      </w:r>
      <w:bookmarkStart w:id="139" w:name="_Int_eYdnCprx"/>
      <w:r>
        <w:t>as that</w:t>
      </w:r>
      <w:bookmarkEnd w:id="139"/>
      <w:r>
        <w:t> listed above.</w:t>
      </w:r>
      <w:bookmarkEnd w:id="138"/>
      <w:r>
        <w:t>   </w:t>
      </w:r>
    </w:p>
    <w:p w14:paraId="0B4A809D" w14:textId="77777777" w:rsidR="009209F4" w:rsidRDefault="009209F4" w:rsidP="1B62D7D4">
      <w:pPr>
        <w:spacing w:after="240"/>
      </w:pPr>
    </w:p>
    <w:p w14:paraId="158A81CF" w14:textId="5D7ED2B2" w:rsidR="009209F4" w:rsidRDefault="323FED1A" w:rsidP="1B62D7D4">
      <w:pPr>
        <w:pStyle w:val="Heading2"/>
        <w:spacing w:before="0" w:after="240"/>
        <w:rPr>
          <w:rFonts w:ascii="Calibri" w:hAnsi="Calibri"/>
        </w:rPr>
      </w:pPr>
      <w:bookmarkStart w:id="140" w:name="_Toc773424635"/>
      <w:bookmarkStart w:id="141" w:name="_Toc2018348172"/>
      <w:bookmarkStart w:id="142" w:name="_Toc238829280"/>
      <w:r w:rsidRPr="1B62D7D4">
        <w:rPr>
          <w:rFonts w:ascii="Calibri" w:hAnsi="Calibri"/>
        </w:rPr>
        <w:t>1</w:t>
      </w:r>
      <w:r w:rsidR="4165EA0C" w:rsidRPr="1B62D7D4">
        <w:rPr>
          <w:rFonts w:ascii="Calibri" w:hAnsi="Calibri"/>
        </w:rPr>
        <w:t>2</w:t>
      </w:r>
      <w:r w:rsidRPr="1B62D7D4">
        <w:rPr>
          <w:rFonts w:ascii="Calibri" w:hAnsi="Calibri"/>
        </w:rPr>
        <w:t>.</w:t>
      </w:r>
      <w:r w:rsidR="02889C2C" w:rsidRPr="1B62D7D4">
        <w:rPr>
          <w:rFonts w:ascii="Calibri" w:hAnsi="Calibri"/>
        </w:rPr>
        <w:t>6</w:t>
      </w:r>
      <w:r w:rsidRPr="1B62D7D4">
        <w:rPr>
          <w:rFonts w:ascii="Calibri" w:hAnsi="Calibri"/>
        </w:rPr>
        <w:t xml:space="preserve"> Sanctions for Failure to Disclose</w:t>
      </w:r>
      <w:bookmarkEnd w:id="140"/>
      <w:bookmarkEnd w:id="141"/>
      <w:bookmarkEnd w:id="142"/>
    </w:p>
    <w:p w14:paraId="354E8BFD" w14:textId="763A5678" w:rsidR="009209F4" w:rsidRPr="009209F4" w:rsidRDefault="7CA212E1" w:rsidP="1B62D7D4">
      <w:pPr>
        <w:spacing w:after="240"/>
      </w:pPr>
      <w:r>
        <w:t>Disclosure is mandatory for anyone in control of clinical CME content.</w:t>
      </w:r>
      <w:r w:rsidR="67F8FD83">
        <w:t xml:space="preserve"> </w:t>
      </w:r>
      <w:r>
        <w:t>Missing or inaccurate disclosure information must be obtained and/or reconciled </w:t>
      </w:r>
      <w:r w:rsidRPr="1B62D7D4">
        <w:rPr>
          <w:i/>
          <w:iCs/>
        </w:rPr>
        <w:t>prior</w:t>
      </w:r>
      <w:r>
        <w:t> to the activity. Any participating faculty who </w:t>
      </w:r>
      <w:bookmarkStart w:id="143" w:name="_Int_h8YClP3W"/>
      <w:proofErr w:type="gramStart"/>
      <w:r>
        <w:t>fail</w:t>
      </w:r>
      <w:bookmarkEnd w:id="143"/>
      <w:proofErr w:type="gramEnd"/>
      <w:r>
        <w:t> to disclose the presence or absence of financial relationships will compromise the accreditation for the </w:t>
      </w:r>
      <w:r w:rsidRPr="1B62D7D4">
        <w:rPr>
          <w:i/>
          <w:iCs/>
        </w:rPr>
        <w:t>entire</w:t>
      </w:r>
      <w:r>
        <w:t> activity. Failure to comply with this policy will result in a mandatory action plan for any future activity. Any activity for which disclosure is repeatedly or egregiously mishandled will no longer be eligible for CME accreditation by the FSM Office of CME.  </w:t>
      </w:r>
    </w:p>
    <w:p w14:paraId="07DE7881" w14:textId="7311B180" w:rsidR="00EA6484" w:rsidRDefault="2081AFD7" w:rsidP="1B62D7D4">
      <w:pPr>
        <w:pStyle w:val="Heading1"/>
        <w:spacing w:after="240"/>
        <w:rPr>
          <w:rFonts w:ascii="Calibri" w:hAnsi="Calibri"/>
        </w:rPr>
      </w:pPr>
      <w:bookmarkStart w:id="144" w:name="_Toc118559553"/>
      <w:bookmarkStart w:id="145" w:name="_Toc2139778441"/>
      <w:bookmarkStart w:id="146" w:name="_Toc238829281"/>
      <w:r w:rsidRPr="1B62D7D4">
        <w:rPr>
          <w:rFonts w:ascii="Calibri" w:hAnsi="Calibri"/>
        </w:rPr>
        <w:t>1</w:t>
      </w:r>
      <w:r w:rsidR="64D06415" w:rsidRPr="1B62D7D4">
        <w:rPr>
          <w:rFonts w:ascii="Calibri" w:hAnsi="Calibri"/>
        </w:rPr>
        <w:t>3</w:t>
      </w:r>
      <w:r w:rsidRPr="1B62D7D4">
        <w:rPr>
          <w:rFonts w:ascii="Calibri" w:hAnsi="Calibri"/>
        </w:rPr>
        <w:t>. Owners and Employees of Ineligible Companies</w:t>
      </w:r>
      <w:bookmarkEnd w:id="144"/>
      <w:bookmarkEnd w:id="145"/>
      <w:bookmarkEnd w:id="146"/>
    </w:p>
    <w:p w14:paraId="56D2AC4B" w14:textId="298256A2" w:rsidR="009209F4" w:rsidRDefault="7CA212E1" w:rsidP="1B62D7D4">
      <w:pPr>
        <w:pStyle w:val="paragraph"/>
        <w:spacing w:before="0" w:beforeAutospacing="0" w:after="240" w:afterAutospacing="0"/>
        <w:ind w:right="720"/>
        <w:textAlignment w:val="baseline"/>
        <w:rPr>
          <w:rFonts w:ascii="Segoe UI" w:hAnsi="Segoe UI" w:cs="Segoe UI"/>
          <w:sz w:val="18"/>
          <w:szCs w:val="18"/>
        </w:rPr>
      </w:pPr>
      <w:r w:rsidRPr="1B62D7D4">
        <w:rPr>
          <w:rStyle w:val="normaltextrun"/>
          <w:rFonts w:ascii="Calibri" w:hAnsi="Calibri" w:cs="Calibri"/>
          <w:sz w:val="22"/>
          <w:szCs w:val="22"/>
        </w:rPr>
        <w:t xml:space="preserve">Owners and employees of ineligible companies are considered to have unresolvable financial relationships and must be excluded from controlling content or participating as planners or faculty in CME. Oversight of faculty conflicts of interest, especially when faculty disclose ownership interest or employment at ACCME-defined ineligible companies, is challenging given the complexity of these relationships. These relationships must be managed appropriately so that education remains unbiased and independent of industry influence. The Office of CME has created a </w:t>
      </w:r>
      <w:hyperlink r:id="rId38">
        <w:r w:rsidRPr="1B62D7D4">
          <w:rPr>
            <w:rStyle w:val="Hyperlink"/>
          </w:rPr>
          <w:t>“</w:t>
        </w:r>
        <w:r w:rsidR="7C93DCE6" w:rsidRPr="1B62D7D4">
          <w:rPr>
            <w:rStyle w:val="Hyperlink"/>
          </w:rPr>
          <w:t>Questionnaire</w:t>
        </w:r>
        <w:r w:rsidR="1F98375B" w:rsidRPr="1B62D7D4">
          <w:rPr>
            <w:rStyle w:val="Hyperlink"/>
          </w:rPr>
          <w:t xml:space="preserve"> for Disclosure of Ownership and/or Employment</w:t>
        </w:r>
        <w:r w:rsidRPr="1B62D7D4">
          <w:rPr>
            <w:rStyle w:val="Hyperlink"/>
          </w:rPr>
          <w:t>” form</w:t>
        </w:r>
      </w:hyperlink>
      <w:r w:rsidRPr="1B62D7D4">
        <w:rPr>
          <w:rStyle w:val="normaltextrun"/>
          <w:rFonts w:ascii="Calibri" w:hAnsi="Calibri" w:cs="Calibri"/>
          <w:sz w:val="22"/>
          <w:szCs w:val="22"/>
        </w:rPr>
        <w:t xml:space="preserve"> to aid in this process. Follow each of the steps outlined below to determine if an owner/employee is eligible to participate in the CME activity.</w:t>
      </w:r>
      <w:r w:rsidRPr="1B62D7D4">
        <w:rPr>
          <w:rStyle w:val="eop"/>
          <w:rFonts w:ascii="Calibri" w:hAnsi="Calibri" w:cs="Calibri"/>
          <w:sz w:val="22"/>
          <w:szCs w:val="22"/>
        </w:rPr>
        <w:t> </w:t>
      </w:r>
    </w:p>
    <w:p w14:paraId="0E186ABF" w14:textId="6BC59482" w:rsidR="009209F4" w:rsidRPr="00E14520" w:rsidRDefault="7CA212E1" w:rsidP="1B62D7D4">
      <w:pPr>
        <w:pStyle w:val="paragraph"/>
        <w:spacing w:before="0" w:beforeAutospacing="0" w:after="240" w:afterAutospacing="0"/>
        <w:ind w:right="720"/>
        <w:textAlignment w:val="baseline"/>
        <w:rPr>
          <w:rFonts w:ascii="Segoe UI" w:hAnsi="Segoe UI" w:cs="Segoe UI"/>
          <w:sz w:val="18"/>
          <w:szCs w:val="18"/>
        </w:rPr>
      </w:pPr>
      <w:r w:rsidRPr="1B62D7D4">
        <w:rPr>
          <w:rStyle w:val="normaltextrun"/>
          <w:rFonts w:ascii="Calibri" w:hAnsi="Calibri" w:cs="Calibri"/>
          <w:b/>
          <w:bCs/>
          <w:sz w:val="22"/>
          <w:szCs w:val="22"/>
        </w:rPr>
        <w:t>Procedure:</w:t>
      </w:r>
      <w:r w:rsidRPr="1B62D7D4">
        <w:rPr>
          <w:rStyle w:val="eop"/>
          <w:rFonts w:ascii="Calibri" w:hAnsi="Calibri" w:cs="Calibri"/>
          <w:sz w:val="22"/>
          <w:szCs w:val="22"/>
        </w:rPr>
        <w:t> </w:t>
      </w:r>
    </w:p>
    <w:p w14:paraId="59C3D65C" w14:textId="77777777" w:rsidR="009209F4" w:rsidRDefault="7CA212E1" w:rsidP="1B62D7D4">
      <w:pPr>
        <w:pStyle w:val="paragraph"/>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b/>
          <w:bCs/>
          <w:sz w:val="22"/>
          <w:szCs w:val="22"/>
          <w:u w:val="single"/>
        </w:rPr>
        <w:lastRenderedPageBreak/>
        <w:t>Step 1.</w:t>
      </w:r>
      <w:r w:rsidRPr="1B62D7D4">
        <w:rPr>
          <w:rStyle w:val="normaltextrun"/>
          <w:rFonts w:ascii="Calibri" w:hAnsi="Calibri" w:cs="Calibri"/>
          <w:sz w:val="22"/>
          <w:szCs w:val="22"/>
        </w:rPr>
        <w:t> Review disclosure information from all </w:t>
      </w:r>
      <w:proofErr w:type="gramStart"/>
      <w:r w:rsidRPr="1B62D7D4">
        <w:rPr>
          <w:rStyle w:val="normaltextrun"/>
          <w:rFonts w:ascii="Calibri" w:hAnsi="Calibri" w:cs="Calibri"/>
          <w:sz w:val="22"/>
          <w:szCs w:val="22"/>
        </w:rPr>
        <w:t>persons</w:t>
      </w:r>
      <w:proofErr w:type="gramEnd"/>
      <w:r w:rsidRPr="1B62D7D4">
        <w:rPr>
          <w:rStyle w:val="normaltextrun"/>
          <w:rFonts w:ascii="Calibri" w:hAnsi="Calibri" w:cs="Calibri"/>
          <w:sz w:val="22"/>
          <w:szCs w:val="22"/>
        </w:rPr>
        <w:t> in control of educational content.</w:t>
      </w:r>
      <w:r w:rsidRPr="1B62D7D4">
        <w:rPr>
          <w:rStyle w:val="eop"/>
          <w:rFonts w:ascii="Calibri" w:hAnsi="Calibri" w:cs="Calibri"/>
          <w:sz w:val="22"/>
          <w:szCs w:val="22"/>
        </w:rPr>
        <w:t> </w:t>
      </w:r>
    </w:p>
    <w:p w14:paraId="4903715F" w14:textId="77777777" w:rsidR="009209F4" w:rsidRDefault="7CA212E1" w:rsidP="1B62D7D4">
      <w:pPr>
        <w:pStyle w:val="paragraph"/>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b/>
          <w:bCs/>
          <w:sz w:val="22"/>
          <w:szCs w:val="22"/>
          <w:u w:val="single"/>
        </w:rPr>
        <w:t>Step 2.</w:t>
      </w:r>
      <w:r w:rsidRPr="1B62D7D4">
        <w:rPr>
          <w:rStyle w:val="normaltextrun"/>
          <w:rFonts w:ascii="Calibri" w:hAnsi="Calibri" w:cs="Calibri"/>
          <w:sz w:val="22"/>
          <w:szCs w:val="22"/>
        </w:rPr>
        <w:t> Identify anyone who has disclosed </w:t>
      </w:r>
      <w:bookmarkStart w:id="147" w:name="_Int_PKzSG9Fj"/>
      <w:r w:rsidRPr="1B62D7D4">
        <w:rPr>
          <w:rStyle w:val="normaltextrun"/>
          <w:rFonts w:ascii="Calibri" w:hAnsi="Calibri" w:cs="Calibri"/>
          <w:sz w:val="22"/>
          <w:szCs w:val="22"/>
        </w:rPr>
        <w:t>ownership</w:t>
      </w:r>
      <w:bookmarkEnd w:id="147"/>
      <w:r w:rsidRPr="1B62D7D4">
        <w:rPr>
          <w:rStyle w:val="normaltextrun"/>
          <w:rFonts w:ascii="Calibri" w:hAnsi="Calibri" w:cs="Calibri"/>
          <w:sz w:val="22"/>
          <w:szCs w:val="22"/>
        </w:rPr>
        <w:t> interest or employment with an ineligible company. According to the ACCME: </w:t>
      </w:r>
      <w:r w:rsidRPr="1B62D7D4">
        <w:rPr>
          <w:rStyle w:val="normaltextrun"/>
          <w:rFonts w:ascii="Calibri" w:hAnsi="Calibri" w:cs="Calibri"/>
          <w:i/>
          <w:iCs/>
          <w:sz w:val="22"/>
          <w:szCs w:val="22"/>
        </w:rPr>
        <w:t>“Owners and employees are individuals who have a legal duty to act in the company's best interests. Owners are defined as individuals who have an ownership interest in a company, except for stockholders of publicly traded companies, or holders of shares through a pension or mutual fund. Employees are defined as individuals hired to work for another person or business (the employer) for compensation and who are subject to the employer's direction as to the details of how to perform the job.”</w:t>
      </w:r>
      <w:r w:rsidRPr="1B62D7D4">
        <w:rPr>
          <w:rStyle w:val="normaltextrun"/>
          <w:rFonts w:ascii="Calibri" w:hAnsi="Calibri" w:cs="Calibri"/>
          <w:sz w:val="22"/>
          <w:szCs w:val="22"/>
        </w:rPr>
        <w:t> </w:t>
      </w:r>
      <w:r w:rsidRPr="1B62D7D4">
        <w:rPr>
          <w:rStyle w:val="eop"/>
          <w:rFonts w:ascii="Calibri" w:hAnsi="Calibri" w:cs="Calibri"/>
          <w:sz w:val="22"/>
          <w:szCs w:val="22"/>
        </w:rPr>
        <w:t> </w:t>
      </w:r>
    </w:p>
    <w:p w14:paraId="24211D35" w14:textId="77777777" w:rsidR="009209F4" w:rsidRDefault="7CA212E1" w:rsidP="1B62D7D4">
      <w:pPr>
        <w:pStyle w:val="paragraph"/>
        <w:numPr>
          <w:ilvl w:val="0"/>
          <w:numId w:val="18"/>
        </w:numPr>
        <w:tabs>
          <w:tab w:val="clear" w:pos="720"/>
        </w:tabs>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Individuals who own stock (not through a mutual fund or pension plan) in </w:t>
      </w:r>
      <w:r w:rsidRPr="1B62D7D4">
        <w:rPr>
          <w:rStyle w:val="normaltextrun"/>
          <w:rFonts w:ascii="Calibri" w:hAnsi="Calibri" w:cs="Calibri"/>
          <w:i/>
          <w:iCs/>
          <w:sz w:val="22"/>
          <w:szCs w:val="22"/>
        </w:rPr>
        <w:t>privately</w:t>
      </w:r>
      <w:r w:rsidRPr="1B62D7D4">
        <w:rPr>
          <w:rStyle w:val="normaltextrun"/>
          <w:rFonts w:ascii="Calibri" w:hAnsi="Calibri" w:cs="Calibri"/>
          <w:sz w:val="22"/>
          <w:szCs w:val="22"/>
        </w:rPr>
        <w:t> held ineligible companies are considered owners or employees. </w:t>
      </w:r>
      <w:r w:rsidRPr="1B62D7D4">
        <w:rPr>
          <w:rStyle w:val="eop"/>
          <w:rFonts w:ascii="Calibri" w:hAnsi="Calibri" w:cs="Calibri"/>
          <w:sz w:val="22"/>
          <w:szCs w:val="22"/>
        </w:rPr>
        <w:t> </w:t>
      </w:r>
    </w:p>
    <w:p w14:paraId="256A4FF9" w14:textId="77777777" w:rsidR="009209F4" w:rsidRDefault="7CA212E1" w:rsidP="1B62D7D4">
      <w:pPr>
        <w:pStyle w:val="paragraph"/>
        <w:numPr>
          <w:ilvl w:val="0"/>
          <w:numId w:val="78"/>
        </w:numPr>
        <w:tabs>
          <w:tab w:val="clear" w:pos="720"/>
        </w:tabs>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Individuals who own stock in </w:t>
      </w:r>
      <w:r w:rsidRPr="1B62D7D4">
        <w:rPr>
          <w:rStyle w:val="normaltextrun"/>
          <w:rFonts w:ascii="Calibri" w:hAnsi="Calibri" w:cs="Calibri"/>
          <w:i/>
          <w:iCs/>
          <w:sz w:val="22"/>
          <w:szCs w:val="22"/>
        </w:rPr>
        <w:t>publicly </w:t>
      </w:r>
      <w:r w:rsidRPr="1B62D7D4">
        <w:rPr>
          <w:rStyle w:val="normaltextrun"/>
          <w:rFonts w:ascii="Calibri" w:hAnsi="Calibri" w:cs="Calibri"/>
          <w:sz w:val="22"/>
          <w:szCs w:val="22"/>
        </w:rPr>
        <w:t>traded ineligible companies are NOT considered owners or employees.</w:t>
      </w:r>
      <w:r w:rsidRPr="1B62D7D4">
        <w:rPr>
          <w:rStyle w:val="eop"/>
          <w:rFonts w:ascii="Calibri" w:hAnsi="Calibri" w:cs="Calibri"/>
          <w:sz w:val="22"/>
          <w:szCs w:val="22"/>
        </w:rPr>
        <w:t> </w:t>
      </w:r>
    </w:p>
    <w:p w14:paraId="7A8AD580" w14:textId="77777777" w:rsidR="009209F4" w:rsidRDefault="7CA212E1" w:rsidP="1B62D7D4">
      <w:pPr>
        <w:pStyle w:val="paragraph"/>
        <w:numPr>
          <w:ilvl w:val="0"/>
          <w:numId w:val="86"/>
        </w:numPr>
        <w:tabs>
          <w:tab w:val="clear" w:pos="720"/>
        </w:tabs>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Individuals who hold stock </w:t>
      </w:r>
      <w:r w:rsidRPr="1B62D7D4">
        <w:rPr>
          <w:rStyle w:val="normaltextrun"/>
          <w:rFonts w:ascii="Calibri" w:hAnsi="Calibri" w:cs="Calibri"/>
          <w:i/>
          <w:iCs/>
          <w:sz w:val="22"/>
          <w:szCs w:val="22"/>
        </w:rPr>
        <w:t>options</w:t>
      </w:r>
      <w:r w:rsidRPr="1B62D7D4">
        <w:rPr>
          <w:rStyle w:val="normaltextrun"/>
          <w:rFonts w:ascii="Calibri" w:hAnsi="Calibri" w:cs="Calibri"/>
          <w:sz w:val="22"/>
          <w:szCs w:val="22"/>
        </w:rPr>
        <w:t> in an ineligible company are NOT considered owners or employees. </w:t>
      </w:r>
      <w:r w:rsidRPr="1B62D7D4">
        <w:rPr>
          <w:rStyle w:val="eop"/>
          <w:rFonts w:ascii="Calibri" w:hAnsi="Calibri" w:cs="Calibri"/>
          <w:sz w:val="22"/>
          <w:szCs w:val="22"/>
        </w:rPr>
        <w:t> </w:t>
      </w:r>
    </w:p>
    <w:p w14:paraId="3B2D8BBB" w14:textId="77777777" w:rsidR="009209F4" w:rsidRDefault="7CA212E1" w:rsidP="1B62D7D4">
      <w:pPr>
        <w:pStyle w:val="paragraph"/>
        <w:numPr>
          <w:ilvl w:val="0"/>
          <w:numId w:val="62"/>
        </w:numPr>
        <w:tabs>
          <w:tab w:val="clear" w:pos="720"/>
        </w:tabs>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Individuals who receive patent royalties from ineligible companies are NOT considered owners or employees of those companies. </w:t>
      </w:r>
      <w:r w:rsidRPr="1B62D7D4">
        <w:rPr>
          <w:rStyle w:val="eop"/>
          <w:rFonts w:ascii="Calibri" w:hAnsi="Calibri" w:cs="Calibri"/>
          <w:sz w:val="22"/>
          <w:szCs w:val="22"/>
        </w:rPr>
        <w:t> </w:t>
      </w:r>
    </w:p>
    <w:p w14:paraId="5D566511" w14:textId="2E571CF3" w:rsidR="009209F4" w:rsidRDefault="7CA212E1" w:rsidP="1B62D7D4">
      <w:pPr>
        <w:pStyle w:val="paragraph"/>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b/>
          <w:bCs/>
          <w:sz w:val="22"/>
          <w:szCs w:val="22"/>
          <w:u w:val="single"/>
        </w:rPr>
        <w:t>Step 3.</w:t>
      </w:r>
      <w:r w:rsidRPr="1B62D7D4">
        <w:rPr>
          <w:rStyle w:val="normaltextrun"/>
          <w:rFonts w:ascii="Calibri" w:hAnsi="Calibri" w:cs="Calibri"/>
          <w:sz w:val="22"/>
          <w:szCs w:val="22"/>
        </w:rPr>
        <w:t> </w:t>
      </w:r>
      <w:r w:rsidR="7B327B58" w:rsidRPr="1B62D7D4">
        <w:rPr>
          <w:rStyle w:val="normaltextrun"/>
          <w:rFonts w:ascii="Calibri" w:hAnsi="Calibri" w:cs="Calibri"/>
          <w:sz w:val="22"/>
          <w:szCs w:val="22"/>
        </w:rPr>
        <w:t>Confirm that</w:t>
      </w:r>
      <w:r w:rsidRPr="1B62D7D4">
        <w:rPr>
          <w:rStyle w:val="normaltextrun"/>
          <w:rFonts w:ascii="Calibri" w:hAnsi="Calibri" w:cs="Calibri"/>
          <w:sz w:val="22"/>
          <w:szCs w:val="22"/>
        </w:rPr>
        <w:t> the disclosed company is an ACCME defined ineligible company.  According to the ACCME: </w:t>
      </w:r>
      <w:r w:rsidRPr="1B62D7D4">
        <w:rPr>
          <w:rStyle w:val="normaltextrun"/>
          <w:rFonts w:ascii="Calibri" w:hAnsi="Calibri" w:cs="Calibri"/>
          <w:i/>
          <w:iCs/>
          <w:sz w:val="22"/>
          <w:szCs w:val="22"/>
        </w:rPr>
        <w:t>“An ineligible company is any entity whose primary business is producing, marketing, selling, re-selling, or distributing healthcare products used by or on patients.” </w:t>
      </w:r>
      <w:r w:rsidRPr="1B62D7D4">
        <w:rPr>
          <w:rStyle w:val="eop"/>
          <w:rFonts w:ascii="Calibri" w:hAnsi="Calibri" w:cs="Calibri"/>
          <w:sz w:val="22"/>
          <w:szCs w:val="22"/>
        </w:rPr>
        <w:t> </w:t>
      </w:r>
    </w:p>
    <w:p w14:paraId="567018BD" w14:textId="77777777" w:rsidR="009209F4" w:rsidRDefault="7CA212E1" w:rsidP="1B62D7D4">
      <w:pPr>
        <w:pStyle w:val="ListParagraph"/>
        <w:numPr>
          <w:ilvl w:val="0"/>
          <w:numId w:val="25"/>
        </w:numPr>
        <w:tabs>
          <w:tab w:val="clear" w:pos="720"/>
        </w:tabs>
        <w:spacing w:after="240"/>
        <w:textAlignment w:val="baseline"/>
        <w:rPr>
          <w:rFonts w:cs="Calibri"/>
        </w:rPr>
      </w:pPr>
      <w:r w:rsidRPr="1B62D7D4">
        <w:rPr>
          <w:rStyle w:val="normaltextrun"/>
          <w:rFonts w:cs="Calibri"/>
        </w:rPr>
        <w:t>Common examples of ineligible companies: </w:t>
      </w:r>
      <w:r w:rsidRPr="1B62D7D4">
        <w:rPr>
          <w:rStyle w:val="eop"/>
          <w:rFonts w:cs="Calibri"/>
        </w:rPr>
        <w:t> </w:t>
      </w:r>
    </w:p>
    <w:p w14:paraId="2571E327" w14:textId="16957BEB" w:rsidR="009209F4" w:rsidRDefault="7CA212E1" w:rsidP="1B62D7D4">
      <w:pPr>
        <w:pStyle w:val="paragraph"/>
        <w:numPr>
          <w:ilvl w:val="0"/>
          <w:numId w:val="8"/>
        </w:numPr>
        <w:tabs>
          <w:tab w:val="clear" w:pos="720"/>
          <w:tab w:val="num" w:pos="0"/>
        </w:tabs>
        <w:spacing w:before="0" w:beforeAutospacing="0" w:after="240" w:afterAutospacing="0"/>
        <w:ind w:left="1440"/>
        <w:textAlignment w:val="baseline"/>
        <w:rPr>
          <w:rFonts w:ascii="Calibri" w:hAnsi="Calibri" w:cs="Calibri"/>
          <w:sz w:val="22"/>
          <w:szCs w:val="22"/>
        </w:rPr>
      </w:pPr>
      <w:r w:rsidRPr="1B62D7D4">
        <w:rPr>
          <w:rStyle w:val="normaltextrun"/>
          <w:rFonts w:ascii="Calibri" w:hAnsi="Calibri" w:cs="Calibri"/>
          <w:sz w:val="22"/>
          <w:szCs w:val="22"/>
        </w:rPr>
        <w:t>Bio-medical startups that have begun a governmental regulatory approval</w:t>
      </w:r>
      <w:r w:rsidR="41B8F915" w:rsidRPr="1B62D7D4">
        <w:rPr>
          <w:rStyle w:val="normaltextrun"/>
          <w:rFonts w:ascii="Calibri" w:hAnsi="Calibri" w:cs="Calibri"/>
          <w:sz w:val="22"/>
          <w:szCs w:val="22"/>
        </w:rPr>
        <w:t xml:space="preserve"> </w:t>
      </w:r>
      <w:r w:rsidRPr="1B62D7D4">
        <w:rPr>
          <w:rStyle w:val="normaltextrun"/>
          <w:rFonts w:ascii="Calibri" w:hAnsi="Calibri" w:cs="Calibri"/>
          <w:sz w:val="22"/>
          <w:szCs w:val="22"/>
        </w:rPr>
        <w:t>process</w:t>
      </w:r>
      <w:r w:rsidRPr="1B62D7D4">
        <w:rPr>
          <w:rStyle w:val="eop"/>
          <w:rFonts w:ascii="Calibri" w:hAnsi="Calibri" w:cs="Calibri"/>
          <w:sz w:val="22"/>
          <w:szCs w:val="22"/>
        </w:rPr>
        <w:t> </w:t>
      </w:r>
    </w:p>
    <w:p w14:paraId="1D241681" w14:textId="77777777" w:rsidR="009209F4" w:rsidRDefault="7CA212E1" w:rsidP="1B62D7D4">
      <w:pPr>
        <w:pStyle w:val="paragraph"/>
        <w:numPr>
          <w:ilvl w:val="0"/>
          <w:numId w:val="38"/>
        </w:numPr>
        <w:tabs>
          <w:tab w:val="clear" w:pos="720"/>
          <w:tab w:val="num" w:pos="0"/>
        </w:tabs>
        <w:spacing w:before="0" w:beforeAutospacing="0" w:after="240" w:afterAutospacing="0"/>
        <w:ind w:left="1440"/>
        <w:textAlignment w:val="baseline"/>
        <w:rPr>
          <w:rFonts w:ascii="Calibri" w:hAnsi="Calibri" w:cs="Calibri"/>
          <w:sz w:val="22"/>
          <w:szCs w:val="22"/>
        </w:rPr>
      </w:pPr>
      <w:r w:rsidRPr="1B62D7D4">
        <w:rPr>
          <w:rStyle w:val="normaltextrun"/>
          <w:rFonts w:ascii="Calibri" w:hAnsi="Calibri" w:cs="Calibri"/>
          <w:sz w:val="22"/>
          <w:szCs w:val="22"/>
        </w:rPr>
        <w:t>Device manufacturers or distributors </w:t>
      </w:r>
      <w:r w:rsidRPr="1B62D7D4">
        <w:rPr>
          <w:rStyle w:val="eop"/>
          <w:rFonts w:ascii="Calibri" w:hAnsi="Calibri" w:cs="Calibri"/>
          <w:sz w:val="22"/>
          <w:szCs w:val="22"/>
        </w:rPr>
        <w:t> </w:t>
      </w:r>
    </w:p>
    <w:p w14:paraId="0C800358" w14:textId="77777777" w:rsidR="009209F4" w:rsidRDefault="7CA212E1" w:rsidP="1B62D7D4">
      <w:pPr>
        <w:pStyle w:val="paragraph"/>
        <w:numPr>
          <w:ilvl w:val="0"/>
          <w:numId w:val="64"/>
        </w:numPr>
        <w:tabs>
          <w:tab w:val="clear" w:pos="720"/>
          <w:tab w:val="num" w:pos="0"/>
        </w:tabs>
        <w:spacing w:before="0" w:beforeAutospacing="0" w:after="240" w:afterAutospacing="0"/>
        <w:ind w:left="1440"/>
        <w:textAlignment w:val="baseline"/>
        <w:rPr>
          <w:rFonts w:ascii="Calibri" w:hAnsi="Calibri" w:cs="Calibri"/>
          <w:sz w:val="22"/>
          <w:szCs w:val="22"/>
        </w:rPr>
      </w:pPr>
      <w:r w:rsidRPr="1B62D7D4">
        <w:rPr>
          <w:rStyle w:val="normaltextrun"/>
          <w:rFonts w:ascii="Calibri" w:hAnsi="Calibri" w:cs="Calibri"/>
          <w:sz w:val="22"/>
          <w:szCs w:val="22"/>
        </w:rPr>
        <w:t>Diagnostic labs that sell proprietary products </w:t>
      </w:r>
      <w:r w:rsidRPr="1B62D7D4">
        <w:rPr>
          <w:rStyle w:val="eop"/>
          <w:rFonts w:ascii="Calibri" w:hAnsi="Calibri" w:cs="Calibri"/>
          <w:sz w:val="22"/>
          <w:szCs w:val="22"/>
        </w:rPr>
        <w:t> </w:t>
      </w:r>
    </w:p>
    <w:p w14:paraId="260D0E74" w14:textId="77777777" w:rsidR="009209F4" w:rsidRDefault="7CA212E1" w:rsidP="1B62D7D4">
      <w:pPr>
        <w:pStyle w:val="paragraph"/>
        <w:numPr>
          <w:ilvl w:val="0"/>
          <w:numId w:val="31"/>
        </w:numPr>
        <w:tabs>
          <w:tab w:val="clear" w:pos="720"/>
          <w:tab w:val="num" w:pos="0"/>
        </w:tabs>
        <w:spacing w:before="0" w:beforeAutospacing="0" w:after="240" w:afterAutospacing="0"/>
        <w:ind w:left="1440"/>
        <w:textAlignment w:val="baseline"/>
        <w:rPr>
          <w:rFonts w:ascii="Calibri" w:hAnsi="Calibri" w:cs="Calibri"/>
          <w:sz w:val="22"/>
          <w:szCs w:val="22"/>
        </w:rPr>
      </w:pPr>
      <w:r w:rsidRPr="1B62D7D4">
        <w:rPr>
          <w:rStyle w:val="normaltextrun"/>
          <w:rFonts w:ascii="Calibri" w:hAnsi="Calibri" w:cs="Calibri"/>
          <w:sz w:val="22"/>
          <w:szCs w:val="22"/>
        </w:rPr>
        <w:t>Manufacturers of health-related wearable products </w:t>
      </w:r>
      <w:r w:rsidRPr="1B62D7D4">
        <w:rPr>
          <w:rStyle w:val="eop"/>
          <w:rFonts w:ascii="Calibri" w:hAnsi="Calibri" w:cs="Calibri"/>
          <w:sz w:val="22"/>
          <w:szCs w:val="22"/>
        </w:rPr>
        <w:t> </w:t>
      </w:r>
    </w:p>
    <w:p w14:paraId="5DF0368E" w14:textId="77777777" w:rsidR="009209F4" w:rsidRDefault="7CA212E1" w:rsidP="1B62D7D4">
      <w:pPr>
        <w:pStyle w:val="paragraph"/>
        <w:numPr>
          <w:ilvl w:val="0"/>
          <w:numId w:val="51"/>
        </w:numPr>
        <w:tabs>
          <w:tab w:val="clear" w:pos="720"/>
          <w:tab w:val="num" w:pos="0"/>
        </w:tabs>
        <w:spacing w:before="0" w:beforeAutospacing="0" w:after="240" w:afterAutospacing="0"/>
        <w:ind w:left="1440"/>
        <w:textAlignment w:val="baseline"/>
        <w:rPr>
          <w:rFonts w:ascii="Calibri" w:hAnsi="Calibri" w:cs="Calibri"/>
          <w:sz w:val="22"/>
          <w:szCs w:val="22"/>
        </w:rPr>
      </w:pPr>
      <w:r w:rsidRPr="1B62D7D4">
        <w:rPr>
          <w:rStyle w:val="normaltextrun"/>
          <w:rFonts w:ascii="Calibri" w:hAnsi="Calibri" w:cs="Calibri"/>
          <w:sz w:val="22"/>
          <w:szCs w:val="22"/>
        </w:rPr>
        <w:t>Pharmaceutical companies or distributors </w:t>
      </w:r>
      <w:r w:rsidRPr="1B62D7D4">
        <w:rPr>
          <w:rStyle w:val="eop"/>
          <w:rFonts w:ascii="Calibri" w:hAnsi="Calibri" w:cs="Calibri"/>
          <w:sz w:val="22"/>
          <w:szCs w:val="22"/>
        </w:rPr>
        <w:t> </w:t>
      </w:r>
    </w:p>
    <w:p w14:paraId="6369CB30" w14:textId="77777777" w:rsidR="009209F4" w:rsidRDefault="7CA212E1" w:rsidP="1B62D7D4">
      <w:pPr>
        <w:pStyle w:val="paragraph"/>
        <w:numPr>
          <w:ilvl w:val="0"/>
          <w:numId w:val="92"/>
        </w:numPr>
        <w:tabs>
          <w:tab w:val="clear" w:pos="720"/>
          <w:tab w:val="num" w:pos="0"/>
        </w:tabs>
        <w:spacing w:before="0" w:beforeAutospacing="0" w:after="240" w:afterAutospacing="0"/>
        <w:ind w:left="1440"/>
        <w:textAlignment w:val="baseline"/>
        <w:rPr>
          <w:rFonts w:ascii="Calibri" w:hAnsi="Calibri" w:cs="Calibri"/>
          <w:sz w:val="22"/>
          <w:szCs w:val="22"/>
        </w:rPr>
      </w:pPr>
      <w:r w:rsidRPr="1B62D7D4">
        <w:rPr>
          <w:rStyle w:val="normaltextrun"/>
          <w:rFonts w:ascii="Calibri" w:hAnsi="Calibri" w:cs="Calibri"/>
          <w:sz w:val="22"/>
          <w:szCs w:val="22"/>
        </w:rPr>
        <w:t>Reagent manufacturers or sellers </w:t>
      </w:r>
      <w:r w:rsidRPr="1B62D7D4">
        <w:rPr>
          <w:rStyle w:val="eop"/>
          <w:rFonts w:ascii="Calibri" w:hAnsi="Calibri" w:cs="Calibri"/>
          <w:sz w:val="22"/>
          <w:szCs w:val="22"/>
        </w:rPr>
        <w:t> </w:t>
      </w:r>
    </w:p>
    <w:p w14:paraId="4F5B59C3" w14:textId="0406EED5" w:rsidR="009209F4" w:rsidRDefault="7CA212E1" w:rsidP="1B62D7D4">
      <w:pPr>
        <w:pStyle w:val="paragraph"/>
        <w:numPr>
          <w:ilvl w:val="0"/>
          <w:numId w:val="4"/>
        </w:numPr>
        <w:spacing w:before="0" w:beforeAutospacing="0" w:after="240" w:afterAutospacing="0"/>
        <w:ind w:right="720"/>
        <w:textAlignment w:val="baseline"/>
        <w:rPr>
          <w:rFonts w:ascii="Calibri" w:hAnsi="Calibri" w:cs="Calibri"/>
          <w:sz w:val="22"/>
          <w:szCs w:val="22"/>
        </w:rPr>
      </w:pPr>
      <w:r w:rsidRPr="1B62D7D4">
        <w:rPr>
          <w:rStyle w:val="normaltextrun"/>
          <w:rFonts w:ascii="Calibri" w:hAnsi="Calibri" w:cs="Calibri"/>
          <w:sz w:val="22"/>
          <w:szCs w:val="22"/>
        </w:rPr>
        <w:t>Determination of CME eligibility is dependent upon where the company is in the regulatory approval process.</w:t>
      </w:r>
      <w:r w:rsidRPr="1B62D7D4">
        <w:rPr>
          <w:rStyle w:val="eop"/>
          <w:rFonts w:ascii="Calibri" w:hAnsi="Calibri" w:cs="Calibri"/>
          <w:sz w:val="22"/>
          <w:szCs w:val="22"/>
        </w:rPr>
        <w:t> </w:t>
      </w:r>
      <w:r w:rsidRPr="1B62D7D4">
        <w:rPr>
          <w:rStyle w:val="normaltextrun"/>
          <w:rFonts w:ascii="Calibri" w:hAnsi="Calibri" w:cs="Calibri"/>
          <w:sz w:val="22"/>
          <w:szCs w:val="22"/>
        </w:rPr>
        <w:t>The ACCME approach to “governmental regulatory approval process” applies to United States (US) federal regulatory activities or equivalent regulatory processes outside of the US and can be found here: </w:t>
      </w:r>
      <w:hyperlink r:id="rId39">
        <w:r w:rsidRPr="1B62D7D4">
          <w:rPr>
            <w:rStyle w:val="normaltextrun"/>
            <w:rFonts w:ascii="Calibri" w:hAnsi="Calibri" w:cs="Calibri"/>
            <w:color w:val="0000FF"/>
            <w:sz w:val="22"/>
            <w:szCs w:val="22"/>
            <w:u w:val="single"/>
          </w:rPr>
          <w:t>“When is a company that is developing its first product considered to be an ineligible company?”</w:t>
        </w:r>
      </w:hyperlink>
      <w:r w:rsidRPr="1B62D7D4">
        <w:rPr>
          <w:rStyle w:val="eop"/>
          <w:rFonts w:ascii="Calibri" w:hAnsi="Calibri" w:cs="Calibri"/>
          <w:sz w:val="22"/>
          <w:szCs w:val="22"/>
        </w:rPr>
        <w:t> </w:t>
      </w:r>
    </w:p>
    <w:p w14:paraId="4D6F50B6" w14:textId="4FDBFC3B" w:rsidR="009209F4" w:rsidRDefault="7CA212E1" w:rsidP="1B62D7D4">
      <w:pPr>
        <w:pStyle w:val="paragraph"/>
        <w:numPr>
          <w:ilvl w:val="0"/>
          <w:numId w:val="4"/>
        </w:numPr>
        <w:spacing w:before="0" w:beforeAutospacing="0" w:after="240" w:afterAutospacing="0"/>
        <w:ind w:right="720"/>
        <w:textAlignment w:val="baseline"/>
        <w:rPr>
          <w:rFonts w:ascii="Calibri" w:hAnsi="Calibri" w:cs="Calibri"/>
          <w:sz w:val="22"/>
          <w:szCs w:val="22"/>
        </w:rPr>
      </w:pPr>
      <w:r w:rsidRPr="1B62D7D4">
        <w:rPr>
          <w:rStyle w:val="normaltextrun"/>
          <w:rFonts w:ascii="Calibri" w:hAnsi="Calibri" w:cs="Calibri"/>
          <w:sz w:val="22"/>
          <w:szCs w:val="22"/>
        </w:rPr>
        <w:t>There are several paths to regulatory approval, depending on the product being developed by the startup company. </w:t>
      </w:r>
      <w:r w:rsidRPr="1B62D7D4">
        <w:rPr>
          <w:rStyle w:val="eop"/>
          <w:rFonts w:ascii="Calibri" w:hAnsi="Calibri" w:cs="Calibri"/>
          <w:sz w:val="22"/>
          <w:szCs w:val="22"/>
        </w:rPr>
        <w:t> </w:t>
      </w:r>
    </w:p>
    <w:p w14:paraId="4278465C" w14:textId="77777777" w:rsidR="009209F4" w:rsidRDefault="7CA212E1" w:rsidP="1B62D7D4">
      <w:pPr>
        <w:pStyle w:val="paragraph"/>
        <w:numPr>
          <w:ilvl w:val="0"/>
          <w:numId w:val="29"/>
        </w:numPr>
        <w:tabs>
          <w:tab w:val="clear" w:pos="720"/>
          <w:tab w:val="num" w:pos="1440"/>
        </w:tabs>
        <w:spacing w:before="0" w:beforeAutospacing="0" w:after="240" w:afterAutospacing="0"/>
        <w:ind w:left="1440"/>
        <w:textAlignment w:val="baseline"/>
        <w:rPr>
          <w:rFonts w:ascii="Calibri" w:hAnsi="Calibri" w:cs="Calibri"/>
          <w:sz w:val="22"/>
          <w:szCs w:val="22"/>
        </w:rPr>
      </w:pPr>
      <w:r w:rsidRPr="1B62D7D4">
        <w:rPr>
          <w:rStyle w:val="normaltextrun"/>
          <w:rFonts w:ascii="Calibri" w:hAnsi="Calibri" w:cs="Calibri"/>
          <w:sz w:val="22"/>
          <w:szCs w:val="22"/>
        </w:rPr>
        <w:lastRenderedPageBreak/>
        <w:t>Prescription drugs and biologics: Before a compound can be made available for clinical trials it must be approved by the Food and Drug Administration (FDA) Center for Drug Evaluation and Research (CDER) or Center for Biologics Evaluation and Research (CBER) through an Investigational New Drug (IND) application. A startup is eligible until the company submits an IND application. </w:t>
      </w:r>
      <w:r w:rsidRPr="1B62D7D4">
        <w:rPr>
          <w:rStyle w:val="eop"/>
          <w:rFonts w:ascii="Calibri" w:hAnsi="Calibri" w:cs="Calibri"/>
          <w:sz w:val="22"/>
          <w:szCs w:val="22"/>
        </w:rPr>
        <w:t> </w:t>
      </w:r>
    </w:p>
    <w:p w14:paraId="1B301503" w14:textId="77777777" w:rsidR="009209F4" w:rsidRDefault="7CA212E1" w:rsidP="1B62D7D4">
      <w:pPr>
        <w:pStyle w:val="paragraph"/>
        <w:numPr>
          <w:ilvl w:val="0"/>
          <w:numId w:val="39"/>
        </w:numPr>
        <w:tabs>
          <w:tab w:val="clear" w:pos="720"/>
          <w:tab w:val="num" w:pos="1440"/>
        </w:tabs>
        <w:spacing w:before="0" w:beforeAutospacing="0" w:after="240" w:afterAutospacing="0"/>
        <w:ind w:left="1440"/>
        <w:textAlignment w:val="baseline"/>
        <w:rPr>
          <w:rFonts w:ascii="Calibri" w:hAnsi="Calibri" w:cs="Calibri"/>
          <w:sz w:val="22"/>
          <w:szCs w:val="22"/>
        </w:rPr>
      </w:pPr>
      <w:r w:rsidRPr="1B62D7D4">
        <w:rPr>
          <w:rStyle w:val="normaltextrun"/>
          <w:rFonts w:ascii="Calibri" w:hAnsi="Calibri" w:cs="Calibri"/>
          <w:sz w:val="22"/>
          <w:szCs w:val="22"/>
        </w:rPr>
        <w:t>Medical devices, including </w:t>
      </w:r>
      <w:r w:rsidRPr="1B62D7D4">
        <w:rPr>
          <w:rStyle w:val="normaltextrun"/>
          <w:rFonts w:ascii="Calibri" w:hAnsi="Calibri" w:cs="Calibri"/>
          <w:i/>
          <w:iCs/>
          <w:sz w:val="22"/>
          <w:szCs w:val="22"/>
        </w:rPr>
        <w:t>in-vitro </w:t>
      </w:r>
      <w:r w:rsidRPr="1B62D7D4">
        <w:rPr>
          <w:rStyle w:val="normaltextrun"/>
          <w:rFonts w:ascii="Calibri" w:hAnsi="Calibri" w:cs="Calibri"/>
          <w:sz w:val="22"/>
          <w:szCs w:val="22"/>
        </w:rPr>
        <w:t>diagnostics: A startup is eligible until it submits a request for FDA clearance under 510(k) protocol of the Food, Drug, and Cosmetic Act or under the Pre-market Approval (PMA) process. </w:t>
      </w:r>
      <w:r w:rsidRPr="1B62D7D4">
        <w:rPr>
          <w:rStyle w:val="eop"/>
          <w:rFonts w:ascii="Calibri" w:hAnsi="Calibri" w:cs="Calibri"/>
          <w:sz w:val="22"/>
          <w:szCs w:val="22"/>
        </w:rPr>
        <w:t> </w:t>
      </w:r>
    </w:p>
    <w:p w14:paraId="1EA2C28C" w14:textId="77777777" w:rsidR="009209F4" w:rsidRDefault="7CA212E1" w:rsidP="1B62D7D4">
      <w:pPr>
        <w:pStyle w:val="paragraph"/>
        <w:numPr>
          <w:ilvl w:val="0"/>
          <w:numId w:val="70"/>
        </w:numPr>
        <w:tabs>
          <w:tab w:val="clear" w:pos="720"/>
          <w:tab w:val="num" w:pos="1440"/>
        </w:tabs>
        <w:spacing w:before="0" w:beforeAutospacing="0" w:after="240" w:afterAutospacing="0"/>
        <w:ind w:left="1440"/>
        <w:textAlignment w:val="baseline"/>
        <w:rPr>
          <w:rFonts w:ascii="Calibri" w:hAnsi="Calibri" w:cs="Calibri"/>
          <w:sz w:val="22"/>
          <w:szCs w:val="22"/>
        </w:rPr>
      </w:pPr>
      <w:r w:rsidRPr="1B62D7D4">
        <w:rPr>
          <w:rStyle w:val="normaltextrun"/>
          <w:rFonts w:ascii="Calibri" w:hAnsi="Calibri" w:cs="Calibri"/>
          <w:sz w:val="22"/>
          <w:szCs w:val="22"/>
        </w:rPr>
        <w:t>Over the counter (OTC) drugs: A startup is eligible until it </w:t>
      </w:r>
      <w:bookmarkStart w:id="148" w:name="_Int_Ko7M1HNm"/>
      <w:proofErr w:type="gramStart"/>
      <w:r w:rsidRPr="1B62D7D4">
        <w:rPr>
          <w:rStyle w:val="normaltextrun"/>
          <w:rFonts w:ascii="Calibri" w:hAnsi="Calibri" w:cs="Calibri"/>
          <w:sz w:val="22"/>
          <w:szCs w:val="22"/>
        </w:rPr>
        <w:t>submits an application</w:t>
      </w:r>
      <w:bookmarkEnd w:id="148"/>
      <w:proofErr w:type="gramEnd"/>
      <w:r w:rsidRPr="1B62D7D4">
        <w:rPr>
          <w:rStyle w:val="normaltextrun"/>
          <w:rFonts w:ascii="Calibri" w:hAnsi="Calibri" w:cs="Calibri"/>
          <w:sz w:val="22"/>
          <w:szCs w:val="22"/>
        </w:rPr>
        <w:t> or </w:t>
      </w:r>
      <w:bookmarkStart w:id="149" w:name="_Int_cwyTDs7G"/>
      <w:proofErr w:type="gramStart"/>
      <w:r w:rsidRPr="1B62D7D4">
        <w:rPr>
          <w:rStyle w:val="normaltextrun"/>
          <w:rFonts w:ascii="Calibri" w:hAnsi="Calibri" w:cs="Calibri"/>
          <w:sz w:val="22"/>
          <w:szCs w:val="22"/>
        </w:rPr>
        <w:t>Over-the-Counter</w:t>
      </w:r>
      <w:bookmarkEnd w:id="149"/>
      <w:proofErr w:type="gramEnd"/>
      <w:r w:rsidRPr="1B62D7D4">
        <w:rPr>
          <w:rStyle w:val="normaltextrun"/>
          <w:rFonts w:ascii="Calibri" w:hAnsi="Calibri" w:cs="Calibri"/>
          <w:sz w:val="22"/>
          <w:szCs w:val="22"/>
        </w:rPr>
        <w:t> (OTC) Drug Review (OTC drug monograph) to the FDA. </w:t>
      </w:r>
      <w:r w:rsidRPr="1B62D7D4">
        <w:rPr>
          <w:rStyle w:val="eop"/>
          <w:rFonts w:ascii="Calibri" w:hAnsi="Calibri" w:cs="Calibri"/>
          <w:sz w:val="22"/>
          <w:szCs w:val="22"/>
        </w:rPr>
        <w:t> </w:t>
      </w:r>
    </w:p>
    <w:p w14:paraId="650E4003" w14:textId="77777777" w:rsidR="009209F4" w:rsidRDefault="7CA212E1" w:rsidP="1B62D7D4">
      <w:pPr>
        <w:pStyle w:val="paragraph"/>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b/>
          <w:bCs/>
          <w:sz w:val="22"/>
          <w:szCs w:val="22"/>
          <w:u w:val="single"/>
        </w:rPr>
        <w:t>Step 4.</w:t>
      </w:r>
      <w:r w:rsidRPr="1B62D7D4">
        <w:rPr>
          <w:rStyle w:val="normaltextrun"/>
          <w:rFonts w:ascii="Calibri" w:hAnsi="Calibri" w:cs="Calibri"/>
          <w:sz w:val="22"/>
          <w:szCs w:val="22"/>
        </w:rPr>
        <w:t xml:space="preserve"> If ownership interest or employment with an ineligible company is confirmed, participation in accredited CME is NOT allowed unless one of three specific exceptions is met: </w:t>
      </w:r>
      <w:r w:rsidRPr="1B62D7D4">
        <w:rPr>
          <w:rStyle w:val="eop"/>
          <w:rFonts w:ascii="Calibri" w:hAnsi="Calibri" w:cs="Calibri"/>
          <w:sz w:val="22"/>
          <w:szCs w:val="22"/>
        </w:rPr>
        <w:t> </w:t>
      </w:r>
    </w:p>
    <w:p w14:paraId="6EBA940B" w14:textId="77777777" w:rsidR="009209F4" w:rsidRDefault="7CA212E1" w:rsidP="1B62D7D4">
      <w:pPr>
        <w:pStyle w:val="paragraph"/>
        <w:spacing w:before="0" w:beforeAutospacing="0" w:after="240" w:afterAutospacing="0"/>
        <w:ind w:left="720" w:right="720"/>
        <w:textAlignment w:val="baseline"/>
        <w:rPr>
          <w:rFonts w:ascii="Segoe UI" w:hAnsi="Segoe UI" w:cs="Segoe UI"/>
          <w:sz w:val="18"/>
          <w:szCs w:val="18"/>
        </w:rPr>
      </w:pPr>
      <w:r w:rsidRPr="1B62D7D4">
        <w:rPr>
          <w:rStyle w:val="normaltextrun"/>
          <w:rFonts w:ascii="Calibri" w:hAnsi="Calibri" w:cs="Calibri"/>
          <w:sz w:val="22"/>
          <w:szCs w:val="22"/>
        </w:rPr>
        <w:t>a. The content of the activity is NOT related to the business lines or products of their employer/company. </w:t>
      </w:r>
      <w:r w:rsidRPr="1B62D7D4">
        <w:rPr>
          <w:rStyle w:val="eop"/>
          <w:rFonts w:ascii="Calibri" w:hAnsi="Calibri" w:cs="Calibri"/>
          <w:sz w:val="22"/>
          <w:szCs w:val="22"/>
        </w:rPr>
        <w:t> </w:t>
      </w:r>
    </w:p>
    <w:p w14:paraId="06CE6BDA" w14:textId="77777777" w:rsidR="009209F4" w:rsidRDefault="7CA212E1" w:rsidP="1B62D7D4">
      <w:pPr>
        <w:pStyle w:val="paragraph"/>
        <w:spacing w:before="0" w:beforeAutospacing="0" w:after="240" w:afterAutospacing="0"/>
        <w:ind w:left="720" w:right="720"/>
        <w:textAlignment w:val="baseline"/>
        <w:rPr>
          <w:rFonts w:ascii="Segoe UI" w:hAnsi="Segoe UI" w:cs="Segoe UI"/>
          <w:sz w:val="18"/>
          <w:szCs w:val="18"/>
        </w:rPr>
      </w:pPr>
      <w:r w:rsidRPr="1B62D7D4">
        <w:rPr>
          <w:rStyle w:val="normaltextrun"/>
          <w:rFonts w:ascii="Calibri" w:hAnsi="Calibri" w:cs="Calibri"/>
          <w:sz w:val="22"/>
          <w:szCs w:val="22"/>
        </w:rPr>
        <w:t>b. The content of the accredited activity is limited to basic science research, such as pre-clinical research and drug discovery, or the methodologies of research, and they do not make care recommendations. </w:t>
      </w:r>
      <w:r w:rsidRPr="1B62D7D4">
        <w:rPr>
          <w:rStyle w:val="eop"/>
          <w:rFonts w:ascii="Calibri" w:hAnsi="Calibri" w:cs="Calibri"/>
          <w:sz w:val="22"/>
          <w:szCs w:val="22"/>
        </w:rPr>
        <w:t> </w:t>
      </w:r>
    </w:p>
    <w:p w14:paraId="380C356E" w14:textId="77777777" w:rsidR="009209F4" w:rsidRDefault="7CA212E1" w:rsidP="1B62D7D4">
      <w:pPr>
        <w:pStyle w:val="paragraph"/>
        <w:spacing w:before="0" w:beforeAutospacing="0" w:after="240" w:afterAutospacing="0"/>
        <w:ind w:left="720" w:right="720"/>
        <w:textAlignment w:val="baseline"/>
        <w:rPr>
          <w:rFonts w:ascii="Segoe UI" w:hAnsi="Segoe UI" w:cs="Segoe UI"/>
          <w:sz w:val="18"/>
          <w:szCs w:val="18"/>
        </w:rPr>
      </w:pPr>
      <w:r w:rsidRPr="1B62D7D4">
        <w:rPr>
          <w:rStyle w:val="normaltextrun"/>
          <w:rFonts w:ascii="Calibri" w:hAnsi="Calibri" w:cs="Calibri"/>
          <w:sz w:val="22"/>
          <w:szCs w:val="22"/>
        </w:rPr>
        <w:t>c. They are participating as technicians to teach the safe and proper use of medical devices, and do not recommend whether or when a device is used. </w:t>
      </w:r>
      <w:r w:rsidRPr="1B62D7D4">
        <w:rPr>
          <w:rStyle w:val="eop"/>
          <w:rFonts w:ascii="Calibri" w:hAnsi="Calibri" w:cs="Calibri"/>
          <w:sz w:val="22"/>
          <w:szCs w:val="22"/>
        </w:rPr>
        <w:t> </w:t>
      </w:r>
    </w:p>
    <w:p w14:paraId="476A8F62" w14:textId="77777777" w:rsidR="009209F4" w:rsidRDefault="7CA212E1" w:rsidP="1B62D7D4">
      <w:pPr>
        <w:pStyle w:val="paragraph"/>
        <w:numPr>
          <w:ilvl w:val="0"/>
          <w:numId w:val="98"/>
        </w:numPr>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Additional guidance regarding exception (a.) above: According to the ACCME, </w:t>
      </w:r>
      <w:r w:rsidRPr="1B62D7D4">
        <w:rPr>
          <w:rStyle w:val="normaltextrun"/>
          <w:rFonts w:ascii="Calibri" w:hAnsi="Calibri" w:cs="Calibri"/>
          <w:i/>
          <w:iCs/>
          <w:sz w:val="22"/>
          <w:szCs w:val="22"/>
        </w:rPr>
        <w:t>“an activity is considered to be related to the business lines of an ineligible company when the content provides any opportunity for the individual to insert commercial bias toward the products of the company.”</w:t>
      </w:r>
      <w:r w:rsidRPr="1B62D7D4">
        <w:rPr>
          <w:rStyle w:val="normaltextrun"/>
          <w:rFonts w:ascii="Calibri" w:hAnsi="Calibri" w:cs="Calibri"/>
          <w:sz w:val="22"/>
          <w:szCs w:val="22"/>
        </w:rPr>
        <w:t> </w:t>
      </w:r>
      <w:r w:rsidRPr="1B62D7D4">
        <w:rPr>
          <w:rStyle w:val="normaltextrun"/>
          <w:rFonts w:ascii="Calibri" w:hAnsi="Calibri" w:cs="Calibri"/>
          <w:b/>
          <w:bCs/>
          <w:sz w:val="22"/>
          <w:szCs w:val="22"/>
        </w:rPr>
        <w:t>It is the content that drives the decision as to the participation of owners/employees. It is insufficient to simply refrain from discussing the specific product or service of the ineligible company</w:t>
      </w:r>
      <w:r w:rsidRPr="1B62D7D4">
        <w:rPr>
          <w:rStyle w:val="normaltextrun"/>
          <w:rFonts w:ascii="Calibri" w:hAnsi="Calibri" w:cs="Calibri"/>
          <w:sz w:val="22"/>
          <w:szCs w:val="22"/>
        </w:rPr>
        <w:t>. Some typical separations that may be sufficiently unrelated: different anatomy; different (unrelated) disease state; in-patient vs. ambulatory care; medical treatment vs. surgical treatment. </w:t>
      </w:r>
      <w:r w:rsidRPr="1B62D7D4">
        <w:rPr>
          <w:rStyle w:val="eop"/>
          <w:rFonts w:ascii="Calibri" w:hAnsi="Calibri" w:cs="Calibri"/>
          <w:sz w:val="22"/>
          <w:szCs w:val="22"/>
        </w:rPr>
        <w:t> </w:t>
      </w:r>
    </w:p>
    <w:p w14:paraId="5E0B74F2" w14:textId="2233A513" w:rsidR="009209F4" w:rsidRDefault="7CA212E1" w:rsidP="1B62D7D4">
      <w:pPr>
        <w:pStyle w:val="paragraph"/>
        <w:numPr>
          <w:ilvl w:val="0"/>
          <w:numId w:val="91"/>
        </w:numPr>
        <w:tabs>
          <w:tab w:val="clear" w:pos="720"/>
        </w:tabs>
        <w:spacing w:before="0" w:beforeAutospacing="0" w:after="240" w:afterAutospacing="0"/>
        <w:textAlignment w:val="baseline"/>
        <w:rPr>
          <w:rStyle w:val="eop"/>
          <w:rFonts w:ascii="Calibri" w:hAnsi="Calibri" w:cs="Calibri"/>
          <w:sz w:val="22"/>
          <w:szCs w:val="22"/>
        </w:rPr>
      </w:pPr>
      <w:r w:rsidRPr="1B62D7D4">
        <w:rPr>
          <w:rStyle w:val="normaltextrun"/>
          <w:rFonts w:ascii="Calibri" w:hAnsi="Calibri" w:cs="Calibri"/>
          <w:sz w:val="22"/>
          <w:szCs w:val="22"/>
        </w:rPr>
        <w:t>There are several resources available on the ACCME website titled “FAQs”, available </w:t>
      </w:r>
      <w:hyperlink r:id="rId40">
        <w:r w:rsidRPr="1B62D7D4">
          <w:rPr>
            <w:rStyle w:val="Hyperlink"/>
          </w:rPr>
          <w:t>her</w:t>
        </w:r>
        <w:r w:rsidR="1A5A044E" w:rsidRPr="1B62D7D4">
          <w:rPr>
            <w:rStyle w:val="Hyperlink"/>
          </w:rPr>
          <w:t>e</w:t>
        </w:r>
      </w:hyperlink>
      <w:r w:rsidR="1A5A044E" w:rsidRPr="1B62D7D4">
        <w:rPr>
          <w:rStyle w:val="normaltextrun"/>
          <w:rFonts w:ascii="Calibri" w:hAnsi="Calibri" w:cs="Calibri"/>
          <w:sz w:val="22"/>
          <w:szCs w:val="22"/>
        </w:rPr>
        <w:t>.</w:t>
      </w:r>
    </w:p>
    <w:p w14:paraId="789259A7" w14:textId="77777777" w:rsidR="009209F4" w:rsidRDefault="7CA212E1" w:rsidP="1B62D7D4">
      <w:pPr>
        <w:pStyle w:val="paragraph"/>
        <w:numPr>
          <w:ilvl w:val="0"/>
          <w:numId w:val="6"/>
        </w:numPr>
        <w:tabs>
          <w:tab w:val="clear" w:pos="720"/>
        </w:tabs>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sz w:val="22"/>
          <w:szCs w:val="22"/>
        </w:rPr>
        <w:t>The FAQ titled “</w:t>
      </w:r>
      <w:r w:rsidRPr="1B62D7D4">
        <w:rPr>
          <w:rStyle w:val="normaltextrun"/>
          <w:rFonts w:ascii="Calibri" w:hAnsi="Calibri" w:cs="Calibri"/>
          <w:i/>
          <w:iCs/>
          <w:sz w:val="22"/>
          <w:szCs w:val="22"/>
        </w:rPr>
        <w:t>Standard 3.2: What are some examples of content that is or is not related to the business lines of the ineligible company?</w:t>
      </w:r>
      <w:r w:rsidRPr="1B62D7D4">
        <w:rPr>
          <w:rStyle w:val="normaltextrun"/>
          <w:rFonts w:ascii="Calibri" w:hAnsi="Calibri" w:cs="Calibri"/>
          <w:sz w:val="22"/>
          <w:szCs w:val="22"/>
        </w:rPr>
        <w:t>” </w:t>
      </w:r>
      <w:bookmarkStart w:id="150" w:name="_Int_UFdWQLdA"/>
      <w:r w:rsidRPr="1B62D7D4">
        <w:rPr>
          <w:rStyle w:val="normaltextrun"/>
          <w:rFonts w:ascii="Calibri" w:hAnsi="Calibri" w:cs="Calibri"/>
          <w:sz w:val="22"/>
          <w:szCs w:val="22"/>
        </w:rPr>
        <w:t>is</w:t>
      </w:r>
      <w:bookmarkEnd w:id="150"/>
      <w:r w:rsidRPr="1B62D7D4">
        <w:rPr>
          <w:rStyle w:val="normaltextrun"/>
          <w:rFonts w:ascii="Calibri" w:hAnsi="Calibri" w:cs="Calibri"/>
          <w:sz w:val="22"/>
          <w:szCs w:val="22"/>
        </w:rPr>
        <w:t> especially helpful for determining when an activity is related to the business lines of an ineligible company. </w:t>
      </w:r>
      <w:r w:rsidRPr="1B62D7D4">
        <w:rPr>
          <w:rStyle w:val="eop"/>
          <w:rFonts w:ascii="Calibri" w:hAnsi="Calibri" w:cs="Calibri"/>
          <w:sz w:val="22"/>
          <w:szCs w:val="22"/>
        </w:rPr>
        <w:t> </w:t>
      </w:r>
    </w:p>
    <w:p w14:paraId="5A5D04FD" w14:textId="28C61A4A" w:rsidR="009209F4" w:rsidRPr="00E14520" w:rsidRDefault="7CA212E1" w:rsidP="1B62D7D4">
      <w:pPr>
        <w:pStyle w:val="paragraph"/>
        <w:spacing w:before="0" w:beforeAutospacing="0" w:after="240" w:afterAutospacing="0"/>
        <w:textAlignment w:val="baseline"/>
        <w:rPr>
          <w:rFonts w:ascii="Calibri" w:hAnsi="Calibri" w:cs="Calibri"/>
          <w:sz w:val="22"/>
          <w:szCs w:val="22"/>
        </w:rPr>
      </w:pPr>
      <w:r w:rsidRPr="1B62D7D4">
        <w:rPr>
          <w:rStyle w:val="normaltextrun"/>
          <w:rFonts w:ascii="Calibri" w:hAnsi="Calibri" w:cs="Calibri"/>
          <w:b/>
          <w:bCs/>
          <w:sz w:val="22"/>
          <w:szCs w:val="22"/>
          <w:u w:val="single"/>
        </w:rPr>
        <w:t>Step 5.</w:t>
      </w:r>
      <w:r w:rsidRPr="1B62D7D4">
        <w:rPr>
          <w:rStyle w:val="normaltextrun"/>
          <w:rFonts w:ascii="Calibri" w:hAnsi="Calibri" w:cs="Calibri"/>
          <w:sz w:val="22"/>
          <w:szCs w:val="22"/>
        </w:rPr>
        <w:t xml:space="preserve"> If the Office of CME has determined participation in the accredited CME activity is permissible, the individual must submit their content for review no less than 2 weeks in advance of the activity. </w:t>
      </w:r>
      <w:r w:rsidRPr="1B62D7D4">
        <w:rPr>
          <w:rStyle w:val="eop"/>
          <w:rFonts w:ascii="Calibri" w:hAnsi="Calibri" w:cs="Calibri"/>
          <w:sz w:val="22"/>
          <w:szCs w:val="22"/>
        </w:rPr>
        <w:t> </w:t>
      </w:r>
    </w:p>
    <w:p w14:paraId="320DBA0B" w14:textId="1774C648" w:rsidR="0047242A" w:rsidRPr="0047242A" w:rsidRDefault="2081AFD7" w:rsidP="1B62D7D4">
      <w:pPr>
        <w:pStyle w:val="Heading1"/>
        <w:spacing w:after="240"/>
        <w:rPr>
          <w:rFonts w:ascii="Calibri" w:hAnsi="Calibri"/>
        </w:rPr>
      </w:pPr>
      <w:bookmarkStart w:id="151" w:name="_Toc1649130142"/>
      <w:bookmarkStart w:id="152" w:name="_Toc1046604384"/>
      <w:bookmarkStart w:id="153" w:name="_Toc238829282"/>
      <w:r w:rsidRPr="1B62D7D4">
        <w:rPr>
          <w:rFonts w:ascii="Calibri" w:hAnsi="Calibri"/>
        </w:rPr>
        <w:t>1</w:t>
      </w:r>
      <w:r w:rsidR="3A8D767F" w:rsidRPr="1B62D7D4">
        <w:rPr>
          <w:rFonts w:ascii="Calibri" w:hAnsi="Calibri"/>
        </w:rPr>
        <w:t>4</w:t>
      </w:r>
      <w:r w:rsidRPr="1B62D7D4">
        <w:rPr>
          <w:rFonts w:ascii="Calibri" w:hAnsi="Calibri"/>
        </w:rPr>
        <w:t>. Commercial Support (Educational Grants and In-kind Support)</w:t>
      </w:r>
      <w:bookmarkEnd w:id="151"/>
      <w:bookmarkEnd w:id="152"/>
      <w:bookmarkEnd w:id="153"/>
    </w:p>
    <w:p w14:paraId="42D57D7D" w14:textId="5120D9B0" w:rsidR="0047242A" w:rsidRPr="0047242A" w:rsidRDefault="41B8F915" w:rsidP="1B62D7D4">
      <w:pPr>
        <w:numPr>
          <w:ilvl w:val="0"/>
          <w:numId w:val="21"/>
        </w:numPr>
        <w:tabs>
          <w:tab w:val="clear" w:pos="720"/>
          <w:tab w:val="num" w:pos="360"/>
        </w:tabs>
        <w:spacing w:after="240"/>
        <w:ind w:left="360"/>
      </w:pPr>
      <w:r>
        <w:t>As defined by the ACCME, </w:t>
      </w:r>
      <w:r w:rsidRPr="1B62D7D4">
        <w:rPr>
          <w:i/>
          <w:iCs/>
        </w:rPr>
        <w:t>commercial support</w:t>
      </w:r>
      <w:r>
        <w:t xml:space="preserve"> is a financial contribution to the educational activity through grants and in-kind support from ineligible companies that help pay for a CME </w:t>
      </w:r>
      <w:r>
        <w:lastRenderedPageBreak/>
        <w:t>activity. </w:t>
      </w:r>
      <w:r w:rsidRPr="1B62D7D4">
        <w:rPr>
          <w:i/>
          <w:iCs/>
        </w:rPr>
        <w:t>Commercial promotion</w:t>
      </w:r>
      <w:r>
        <w:t> is a separate marketing effort, such as exhibits or marketing, that occurs alongside but </w:t>
      </w:r>
      <w:r w:rsidR="530248F6">
        <w:t xml:space="preserve">is </w:t>
      </w:r>
      <w:r>
        <w:t>not integrated into the education of learners. </w:t>
      </w:r>
    </w:p>
    <w:p w14:paraId="133BF09E" w14:textId="77777777" w:rsidR="0047242A" w:rsidRPr="0047242A" w:rsidRDefault="41B8F915" w:rsidP="1B62D7D4">
      <w:pPr>
        <w:numPr>
          <w:ilvl w:val="0"/>
          <w:numId w:val="48"/>
        </w:numPr>
        <w:tabs>
          <w:tab w:val="clear" w:pos="720"/>
          <w:tab w:val="num" w:pos="360"/>
        </w:tabs>
        <w:spacing w:after="240"/>
        <w:ind w:left="360"/>
      </w:pPr>
      <w:r>
        <w:t>Importantly, the FSM Office of CME must have full knowledge and provide approval for all industry support. </w:t>
      </w:r>
    </w:p>
    <w:p w14:paraId="7D8A8675" w14:textId="77777777" w:rsidR="0047242A" w:rsidRPr="0047242A" w:rsidRDefault="41B8F915" w:rsidP="1B62D7D4">
      <w:pPr>
        <w:numPr>
          <w:ilvl w:val="0"/>
          <w:numId w:val="95"/>
        </w:numPr>
        <w:tabs>
          <w:tab w:val="clear" w:pos="720"/>
          <w:tab w:val="num" w:pos="360"/>
        </w:tabs>
        <w:spacing w:after="240"/>
        <w:ind w:left="360"/>
      </w:pPr>
      <w:r>
        <w:t>Funds must be distributed to the organizing department or the Office of CME. Planners, faculty, and all other activity participants may not receive direct payment or reimbursement from industry. </w:t>
      </w:r>
    </w:p>
    <w:p w14:paraId="46552506" w14:textId="77777777" w:rsidR="0047242A" w:rsidRPr="0047242A" w:rsidRDefault="41B8F915" w:rsidP="1B62D7D4">
      <w:pPr>
        <w:numPr>
          <w:ilvl w:val="0"/>
          <w:numId w:val="32"/>
        </w:numPr>
        <w:tabs>
          <w:tab w:val="clear" w:pos="720"/>
          <w:tab w:val="num" w:pos="360"/>
        </w:tabs>
        <w:spacing w:after="240"/>
        <w:ind w:left="360"/>
      </w:pPr>
      <w:r>
        <w:t>Payments to the hospital or third-party provider may be subject to the requirements of the </w:t>
      </w:r>
      <w:hyperlink r:id="rId41">
        <w:r w:rsidRPr="1B62D7D4">
          <w:rPr>
            <w:rStyle w:val="Hyperlink"/>
          </w:rPr>
          <w:t>Sunshine Act</w:t>
        </w:r>
      </w:hyperlink>
      <w:r>
        <w:t>.  </w:t>
      </w:r>
    </w:p>
    <w:p w14:paraId="4B7A2E05" w14:textId="77777777" w:rsidR="0047242A" w:rsidRPr="0047242A" w:rsidRDefault="41B8F915" w:rsidP="1B62D7D4">
      <w:pPr>
        <w:spacing w:after="240"/>
      </w:pPr>
      <w:r w:rsidRPr="1B62D7D4">
        <w:rPr>
          <w:b/>
          <w:bCs/>
        </w:rPr>
        <w:t>Educational Grants &amp; In-Kind Support (i.e., Commercial Support)</w:t>
      </w:r>
      <w:r>
        <w:t> </w:t>
      </w:r>
    </w:p>
    <w:p w14:paraId="294463AA" w14:textId="77777777" w:rsidR="0047242A" w:rsidRPr="0047242A" w:rsidRDefault="41B8F915" w:rsidP="1B62D7D4">
      <w:pPr>
        <w:numPr>
          <w:ilvl w:val="0"/>
          <w:numId w:val="73"/>
        </w:numPr>
        <w:tabs>
          <w:tab w:val="clear" w:pos="720"/>
          <w:tab w:val="num" w:pos="360"/>
        </w:tabs>
        <w:spacing w:after="240"/>
        <w:ind w:left="360"/>
      </w:pPr>
      <w:r>
        <w:t>All companies providing an educational grant must be acknowledged to the learners prior to the CME activity.  </w:t>
      </w:r>
    </w:p>
    <w:p w14:paraId="3FB02F2C" w14:textId="77777777" w:rsidR="0047242A" w:rsidRPr="0047242A" w:rsidRDefault="41B8F915" w:rsidP="1B62D7D4">
      <w:pPr>
        <w:numPr>
          <w:ilvl w:val="0"/>
          <w:numId w:val="14"/>
        </w:numPr>
        <w:tabs>
          <w:tab w:val="clear" w:pos="720"/>
          <w:tab w:val="num" w:pos="360"/>
        </w:tabs>
        <w:spacing w:after="240"/>
        <w:ind w:left="360"/>
      </w:pPr>
      <w:r>
        <w:t>The type of In-Kind support, if applicable, must be included in the acknowledgement. In-kind support includes non-cash goods or services such as medical equipment, simulators, etc.  </w:t>
      </w:r>
    </w:p>
    <w:p w14:paraId="650E9096" w14:textId="77777777" w:rsidR="0047242A" w:rsidRPr="0047242A" w:rsidRDefault="41B8F915" w:rsidP="1B62D7D4">
      <w:pPr>
        <w:numPr>
          <w:ilvl w:val="0"/>
          <w:numId w:val="28"/>
        </w:numPr>
        <w:tabs>
          <w:tab w:val="clear" w:pos="720"/>
          <w:tab w:val="num" w:pos="360"/>
        </w:tabs>
        <w:spacing w:after="240"/>
        <w:ind w:left="360"/>
      </w:pPr>
      <w:r>
        <w:t>Corporate logos cannot be included in the acknowledgement of industry support. Corporate logos cannot be included in the educational materials or in the room where </w:t>
      </w:r>
      <w:bookmarkStart w:id="154" w:name="_Int_ubxqc7fY"/>
      <w:r>
        <w:t>the education</w:t>
      </w:r>
      <w:bookmarkEnd w:id="154"/>
      <w:r>
        <w:t> is being held. Items with corporate logos cannot be passed out during registration/at the registration desk. </w:t>
      </w:r>
    </w:p>
    <w:p w14:paraId="7ACDB004" w14:textId="77777777" w:rsidR="0047242A" w:rsidRPr="0047242A" w:rsidRDefault="41B8F915" w:rsidP="1B62D7D4">
      <w:pPr>
        <w:numPr>
          <w:ilvl w:val="0"/>
          <w:numId w:val="9"/>
        </w:numPr>
        <w:tabs>
          <w:tab w:val="clear" w:pos="720"/>
          <w:tab w:val="num" w:pos="360"/>
        </w:tabs>
        <w:spacing w:after="240"/>
        <w:ind w:left="360"/>
      </w:pPr>
      <w:r>
        <w:t>Companies providing commercial support may be acknowledged by their level of contribution (e.g., Gold Level, Silver Level, etc.), if applicable.   </w:t>
      </w:r>
    </w:p>
    <w:p w14:paraId="3FE68E60" w14:textId="77777777" w:rsidR="0047242A" w:rsidRPr="0047242A" w:rsidRDefault="41B8F915" w:rsidP="1B62D7D4">
      <w:pPr>
        <w:numPr>
          <w:ilvl w:val="0"/>
          <w:numId w:val="79"/>
        </w:numPr>
        <w:tabs>
          <w:tab w:val="clear" w:pos="720"/>
          <w:tab w:val="num" w:pos="360"/>
        </w:tabs>
        <w:spacing w:after="240"/>
        <w:ind w:left="360"/>
      </w:pPr>
      <w:r>
        <w:t>Commercial supporters cannot have stipulations included in the terms of the educational grant, such as selecting faculty, authors, participants, or any part of the planning (e.g., topics, needs assessment, objectives, etc.) related to the content of the CME activity.   </w:t>
      </w:r>
    </w:p>
    <w:p w14:paraId="0AF0DBB5" w14:textId="77777777" w:rsidR="0047242A" w:rsidRPr="0047242A" w:rsidRDefault="41B8F915" w:rsidP="1B62D7D4">
      <w:pPr>
        <w:numPr>
          <w:ilvl w:val="0"/>
          <w:numId w:val="35"/>
        </w:numPr>
        <w:tabs>
          <w:tab w:val="clear" w:pos="720"/>
          <w:tab w:val="num" w:pos="360"/>
        </w:tabs>
        <w:spacing w:after="240"/>
        <w:ind w:left="360"/>
      </w:pPr>
      <w:r>
        <w:t>All CME activities receiving commercial support must have </w:t>
      </w:r>
      <w:proofErr w:type="gramStart"/>
      <w:r>
        <w:t>a written</w:t>
      </w:r>
      <w:proofErr w:type="gramEnd"/>
      <w:r>
        <w:t> agreement with terms, conditions, and purpose of the support. The letter of agreement (LOA) must be signed by a representative from the commercial company and the FSM Office of CME </w:t>
      </w:r>
      <w:r w:rsidRPr="1B62D7D4">
        <w:rPr>
          <w:i/>
          <w:iCs/>
        </w:rPr>
        <w:t>prior</w:t>
      </w:r>
      <w:r>
        <w:t> to the acknowledgement of funding and/or the date of the educational activity. If the Office of CME has not received the signed LOA prior to the start of the educational activity, the company cannot be acknowledged in the </w:t>
      </w:r>
      <w:bookmarkStart w:id="155" w:name="_Int_vHXrezAL"/>
      <w:r>
        <w:t>program</w:t>
      </w:r>
      <w:bookmarkEnd w:id="155"/>
      <w:r>
        <w:t> materials, and the educational grant cannot be accepted.   </w:t>
      </w:r>
    </w:p>
    <w:p w14:paraId="552978A2" w14:textId="602305B9" w:rsidR="0047242A" w:rsidRPr="0047242A" w:rsidRDefault="41B8F915" w:rsidP="1B62D7D4">
      <w:pPr>
        <w:numPr>
          <w:ilvl w:val="0"/>
          <w:numId w:val="7"/>
        </w:numPr>
        <w:spacing w:after="240"/>
      </w:pPr>
      <w:r>
        <w:t>Typically, the commercial company will have </w:t>
      </w:r>
      <w:proofErr w:type="gramStart"/>
      <w:r>
        <w:t>an LOA</w:t>
      </w:r>
      <w:proofErr w:type="gramEnd"/>
      <w:r>
        <w:t>. If they do not, then the FSM LOA must be used and is available </w:t>
      </w:r>
      <w:hyperlink r:id="rId42" w:history="1">
        <w:r w:rsidRPr="0029484F">
          <w:rPr>
            <w:rStyle w:val="Hyperlink"/>
          </w:rPr>
          <w:t>here. </w:t>
        </w:r>
      </w:hyperlink>
    </w:p>
    <w:p w14:paraId="3305BC70" w14:textId="77777777" w:rsidR="0047242A" w:rsidRPr="0047242A" w:rsidRDefault="41B8F915" w:rsidP="1B62D7D4">
      <w:pPr>
        <w:numPr>
          <w:ilvl w:val="0"/>
          <w:numId w:val="81"/>
        </w:numPr>
        <w:tabs>
          <w:tab w:val="clear" w:pos="720"/>
          <w:tab w:val="num" w:pos="360"/>
        </w:tabs>
        <w:spacing w:after="240"/>
        <w:ind w:left="360"/>
      </w:pPr>
      <w:r>
        <w:t>The coordinating department must review the LOA for additional stipulations such as return of excess funds or a final reconciliation report. </w:t>
      </w:r>
    </w:p>
    <w:p w14:paraId="7E1AE981" w14:textId="77777777" w:rsidR="0047242A" w:rsidRPr="0047242A" w:rsidRDefault="41B8F915" w:rsidP="1B62D7D4">
      <w:pPr>
        <w:numPr>
          <w:ilvl w:val="0"/>
          <w:numId w:val="84"/>
        </w:numPr>
        <w:tabs>
          <w:tab w:val="clear" w:pos="720"/>
          <w:tab w:val="num" w:pos="360"/>
        </w:tabs>
        <w:spacing w:after="240"/>
        <w:ind w:left="360"/>
      </w:pPr>
      <w:r>
        <w:lastRenderedPageBreak/>
        <w:t>At the conclusion of the activity, the final budget submitted to the OCME must document how grant funds were allocated.   </w:t>
      </w:r>
    </w:p>
    <w:p w14:paraId="31C0115D" w14:textId="77904ACE" w:rsidR="0047242A" w:rsidRDefault="41B8F915" w:rsidP="1B62D7D4">
      <w:pPr>
        <w:numPr>
          <w:ilvl w:val="0"/>
          <w:numId w:val="71"/>
        </w:numPr>
        <w:tabs>
          <w:tab w:val="clear" w:pos="720"/>
          <w:tab w:val="num" w:pos="360"/>
        </w:tabs>
        <w:spacing w:after="240"/>
        <w:ind w:left="360"/>
      </w:pPr>
      <w:r>
        <w:t>Additional clarifications are available under </w:t>
      </w:r>
      <w:hyperlink r:id="rId43">
        <w:r w:rsidRPr="1B62D7D4">
          <w:rPr>
            <w:rStyle w:val="Hyperlink"/>
          </w:rPr>
          <w:t>Standard 4: Manage Commercial Support</w:t>
        </w:r>
      </w:hyperlink>
      <w:r>
        <w:t> on the ACCME website.  </w:t>
      </w:r>
    </w:p>
    <w:p w14:paraId="7C495E7C" w14:textId="1A1FDF32" w:rsidR="00EA6484" w:rsidRDefault="2081AFD7" w:rsidP="1B62D7D4">
      <w:pPr>
        <w:pStyle w:val="Heading2"/>
        <w:spacing w:before="0" w:after="240"/>
        <w:rPr>
          <w:rFonts w:ascii="Calibri" w:hAnsi="Calibri"/>
        </w:rPr>
      </w:pPr>
      <w:bookmarkStart w:id="156" w:name="_Toc829896832"/>
      <w:bookmarkStart w:id="157" w:name="_Toc553783917"/>
      <w:bookmarkStart w:id="158" w:name="_Toc238829283"/>
      <w:r w:rsidRPr="1B62D7D4">
        <w:rPr>
          <w:rFonts w:ascii="Calibri" w:hAnsi="Calibri"/>
        </w:rPr>
        <w:t>1</w:t>
      </w:r>
      <w:r w:rsidR="09ACB05F" w:rsidRPr="1B62D7D4">
        <w:rPr>
          <w:rFonts w:ascii="Calibri" w:hAnsi="Calibri"/>
        </w:rPr>
        <w:t>4</w:t>
      </w:r>
      <w:r w:rsidRPr="1B62D7D4">
        <w:rPr>
          <w:rFonts w:ascii="Calibri" w:hAnsi="Calibri"/>
        </w:rPr>
        <w:t>.1 Key requirements</w:t>
      </w:r>
      <w:bookmarkEnd w:id="156"/>
      <w:bookmarkEnd w:id="157"/>
      <w:bookmarkEnd w:id="158"/>
    </w:p>
    <w:p w14:paraId="25BAA78C" w14:textId="77777777" w:rsidR="00EA6484" w:rsidRDefault="1653D51A" w:rsidP="1B62D7D4">
      <w:pPr>
        <w:pStyle w:val="ListBullet"/>
        <w:spacing w:after="240"/>
      </w:pPr>
      <w:r>
        <w:t>The accredited provider makes all decisions about receipt and disbursement of commercial support.</w:t>
      </w:r>
    </w:p>
    <w:p w14:paraId="04BA59F0" w14:textId="77777777" w:rsidR="00EA6484" w:rsidRDefault="1653D51A" w:rsidP="1B62D7D4">
      <w:pPr>
        <w:pStyle w:val="ListBullet"/>
        <w:spacing w:after="240"/>
      </w:pPr>
      <w:r>
        <w:t xml:space="preserve">Ineligible companies may not pay expenses directly to planners, faculty, learners, or vendors for </w:t>
      </w:r>
      <w:bookmarkStart w:id="159" w:name="_Int_b23E9y3E"/>
      <w:r>
        <w:t>the education</w:t>
      </w:r>
      <w:bookmarkEnd w:id="159"/>
      <w:r>
        <w:t>.</w:t>
      </w:r>
    </w:p>
    <w:p w14:paraId="7C1908E0" w14:textId="77777777" w:rsidR="00EA6484" w:rsidRDefault="1653D51A" w:rsidP="1B62D7D4">
      <w:pPr>
        <w:pStyle w:val="ListBullet"/>
        <w:spacing w:after="240"/>
      </w:pPr>
      <w:r>
        <w:t>Commercial support must be documented in a written agreement executed prior to the start of the activity.</w:t>
      </w:r>
    </w:p>
    <w:p w14:paraId="67767E85" w14:textId="77777777" w:rsidR="00EA6484" w:rsidRDefault="1653D51A" w:rsidP="1B62D7D4">
      <w:pPr>
        <w:pStyle w:val="ListBullet"/>
        <w:spacing w:after="240"/>
      </w:pPr>
      <w:r>
        <w:t>Disclose the name(s) of the ineligible company(</w:t>
      </w:r>
      <w:proofErr w:type="spellStart"/>
      <w:r>
        <w:t>ies</w:t>
      </w:r>
      <w:proofErr w:type="spellEnd"/>
      <w:r>
        <w:t>) and the nature of in-kind support to learners prior to participation; do not use logos.</w:t>
      </w:r>
    </w:p>
    <w:p w14:paraId="47E0ABFA" w14:textId="48E787EC" w:rsidR="00EA6484" w:rsidRDefault="2081AFD7" w:rsidP="1B62D7D4">
      <w:pPr>
        <w:pStyle w:val="Heading1"/>
        <w:spacing w:after="240"/>
        <w:rPr>
          <w:rFonts w:ascii="Calibri" w:hAnsi="Calibri"/>
        </w:rPr>
      </w:pPr>
      <w:bookmarkStart w:id="160" w:name="_Toc790471346"/>
      <w:bookmarkStart w:id="161" w:name="_Toc402555541"/>
      <w:bookmarkStart w:id="162" w:name="_Toc238829284"/>
      <w:r w:rsidRPr="1B62D7D4">
        <w:rPr>
          <w:rFonts w:ascii="Calibri" w:hAnsi="Calibri"/>
        </w:rPr>
        <w:t>1</w:t>
      </w:r>
      <w:r w:rsidR="39CC5BF4" w:rsidRPr="1B62D7D4">
        <w:rPr>
          <w:rFonts w:ascii="Calibri" w:hAnsi="Calibri"/>
        </w:rPr>
        <w:t>5</w:t>
      </w:r>
      <w:r w:rsidRPr="1B62D7D4">
        <w:rPr>
          <w:rFonts w:ascii="Calibri" w:hAnsi="Calibri"/>
        </w:rPr>
        <w:t>. Exhibits, Marketing, and Non-CME Promotional Support</w:t>
      </w:r>
      <w:bookmarkEnd w:id="160"/>
      <w:bookmarkEnd w:id="161"/>
      <w:bookmarkEnd w:id="162"/>
    </w:p>
    <w:p w14:paraId="2977EFA5" w14:textId="77777777" w:rsidR="0047242A" w:rsidRPr="0047242A" w:rsidRDefault="41B8F915" w:rsidP="1B62D7D4">
      <w:pPr>
        <w:numPr>
          <w:ilvl w:val="0"/>
          <w:numId w:val="101"/>
        </w:numPr>
        <w:spacing w:after="240"/>
      </w:pPr>
      <w:r>
        <w:t>It is essential that accredited CME is </w:t>
      </w:r>
      <w:proofErr w:type="gramStart"/>
      <w:r>
        <w:t>separate</w:t>
      </w:r>
      <w:proofErr w:type="gramEnd"/>
      <w:r>
        <w:t> from marketing by ineligible companies. This includes advertising, sales, exhibits, and promotion. It also includes nonaccredited education offered in conjunction with accredited CME. </w:t>
      </w:r>
    </w:p>
    <w:p w14:paraId="79316102" w14:textId="4CAD96D3" w:rsidR="0047242A" w:rsidRPr="0047242A" w:rsidRDefault="41B8F915" w:rsidP="1B62D7D4">
      <w:pPr>
        <w:pStyle w:val="ListParagraph"/>
        <w:numPr>
          <w:ilvl w:val="0"/>
          <w:numId w:val="80"/>
        </w:numPr>
        <w:spacing w:after="240"/>
      </w:pPr>
      <w:r>
        <w:t>Common promotional methods include: </w:t>
      </w:r>
      <w:r w:rsidR="3A46D043">
        <w:t>an exhibitor table, product demonstration, branded giveaways</w:t>
      </w:r>
    </w:p>
    <w:p w14:paraId="5EEC3254" w14:textId="77777777" w:rsidR="0047242A" w:rsidRPr="0047242A" w:rsidRDefault="41B8F915" w:rsidP="1B62D7D4">
      <w:pPr>
        <w:spacing w:after="240"/>
      </w:pPr>
      <w:r>
        <w:t> </w:t>
      </w:r>
    </w:p>
    <w:p w14:paraId="26539676" w14:textId="77777777" w:rsidR="0047242A" w:rsidRPr="0047242A" w:rsidRDefault="41B8F915" w:rsidP="1B62D7D4">
      <w:pPr>
        <w:numPr>
          <w:ilvl w:val="0"/>
          <w:numId w:val="74"/>
        </w:numPr>
        <w:spacing w:after="240"/>
      </w:pPr>
      <w:r>
        <w:t>Nonaccredited education offered in conjunction with accredited CME may include industry-sponsored product theaters, industry-sponsored lunches, etc. The coordinating department MUST receive approval from the </w:t>
      </w:r>
      <w:hyperlink r:id="rId44">
        <w:r w:rsidRPr="1B62D7D4">
          <w:rPr>
            <w:rStyle w:val="Hyperlink"/>
          </w:rPr>
          <w:t>Feinberg Office of Regulatory Affairs</w:t>
        </w:r>
      </w:hyperlink>
      <w:r>
        <w:t> to receive funds related to non-CME activities. Contact: </w:t>
      </w:r>
      <w:hyperlink r:id="rId45">
        <w:r w:rsidRPr="1B62D7D4">
          <w:rPr>
            <w:rStyle w:val="Hyperlink"/>
          </w:rPr>
          <w:t>fsm-compliance@northwestern.edu</w:t>
        </w:r>
      </w:hyperlink>
      <w:r>
        <w:t> or (312) 503-8491. </w:t>
      </w:r>
    </w:p>
    <w:p w14:paraId="6FBFED74" w14:textId="77777777" w:rsidR="0047242A" w:rsidRPr="0047242A" w:rsidRDefault="41B8F915" w:rsidP="1B62D7D4">
      <w:pPr>
        <w:pStyle w:val="ListParagraph"/>
        <w:numPr>
          <w:ilvl w:val="0"/>
          <w:numId w:val="56"/>
        </w:numPr>
        <w:spacing w:after="240"/>
      </w:pPr>
      <w:r>
        <w:t>Ineligible companies who market or exhibit at a CME activity must not: </w:t>
      </w:r>
    </w:p>
    <w:p w14:paraId="31056B03" w14:textId="77777777" w:rsidR="0047242A" w:rsidRPr="0047242A" w:rsidRDefault="41B8F915" w:rsidP="1B62D7D4">
      <w:pPr>
        <w:numPr>
          <w:ilvl w:val="0"/>
          <w:numId w:val="55"/>
        </w:numPr>
        <w:spacing w:after="240"/>
      </w:pPr>
      <w:r>
        <w:t>influence any decisions related to the accredited education </w:t>
      </w:r>
    </w:p>
    <w:p w14:paraId="37E70CE9" w14:textId="77777777" w:rsidR="0047242A" w:rsidRPr="0047242A" w:rsidRDefault="41B8F915" w:rsidP="1B62D7D4">
      <w:pPr>
        <w:numPr>
          <w:ilvl w:val="0"/>
          <w:numId w:val="13"/>
        </w:numPr>
        <w:spacing w:after="240"/>
      </w:pPr>
      <w:r>
        <w:t>interfere with the presentation of the education </w:t>
      </w:r>
    </w:p>
    <w:p w14:paraId="35E710AD" w14:textId="77777777" w:rsidR="0047242A" w:rsidRPr="0047242A" w:rsidRDefault="41B8F915" w:rsidP="1B62D7D4">
      <w:pPr>
        <w:numPr>
          <w:ilvl w:val="0"/>
          <w:numId w:val="11"/>
        </w:numPr>
        <w:spacing w:after="240"/>
      </w:pPr>
      <w:r>
        <w:t>make the marketing/exhibit be a condition of the provision of financial (grant) or in-kind support </w:t>
      </w:r>
    </w:p>
    <w:p w14:paraId="7C778201" w14:textId="77777777" w:rsidR="0047242A" w:rsidRPr="0047242A" w:rsidRDefault="41B8F915" w:rsidP="1B62D7D4">
      <w:pPr>
        <w:numPr>
          <w:ilvl w:val="0"/>
          <w:numId w:val="24"/>
        </w:numPr>
        <w:spacing w:after="240"/>
      </w:pPr>
      <w:r>
        <w:t>Learners must be able to easily distinguish between accredited education and other activities. </w:t>
      </w:r>
    </w:p>
    <w:p w14:paraId="0FC3534E" w14:textId="77777777" w:rsidR="0047242A" w:rsidRPr="0047242A" w:rsidRDefault="41B8F915" w:rsidP="1B62D7D4">
      <w:pPr>
        <w:numPr>
          <w:ilvl w:val="0"/>
          <w:numId w:val="88"/>
        </w:numPr>
        <w:tabs>
          <w:tab w:val="clear" w:pos="720"/>
          <w:tab w:val="num" w:pos="360"/>
        </w:tabs>
        <w:spacing w:after="240"/>
        <w:ind w:left="360"/>
      </w:pPr>
      <w:r>
        <w:lastRenderedPageBreak/>
        <w:t>All companies providing exhibit/marketing support must be acknowledged to the learners prior to the CME activity.  </w:t>
      </w:r>
    </w:p>
    <w:p w14:paraId="535FA363" w14:textId="77777777" w:rsidR="0047242A" w:rsidRPr="0047242A" w:rsidRDefault="41B8F915" w:rsidP="1B62D7D4">
      <w:pPr>
        <w:numPr>
          <w:ilvl w:val="0"/>
          <w:numId w:val="75"/>
        </w:numPr>
        <w:tabs>
          <w:tab w:val="clear" w:pos="720"/>
          <w:tab w:val="num" w:pos="360"/>
        </w:tabs>
        <w:spacing w:after="240"/>
        <w:ind w:left="360"/>
      </w:pPr>
      <w:r>
        <w:t>Corporate logos cannot be included in the acknowledgement of industry support. </w:t>
      </w:r>
    </w:p>
    <w:p w14:paraId="170BF4D1" w14:textId="77777777" w:rsidR="0047242A" w:rsidRPr="0047242A" w:rsidRDefault="41B8F915" w:rsidP="1B62D7D4">
      <w:pPr>
        <w:numPr>
          <w:ilvl w:val="0"/>
          <w:numId w:val="40"/>
        </w:numPr>
        <w:tabs>
          <w:tab w:val="clear" w:pos="720"/>
          <w:tab w:val="num" w:pos="360"/>
        </w:tabs>
        <w:spacing w:after="240"/>
        <w:ind w:left="360"/>
      </w:pPr>
      <w:r>
        <w:t>Companies exhibiting or providing marketing support may be acknowledged by their level of contribution (e.g., Gold Level, Silver Level, etc.), if applicable.   </w:t>
      </w:r>
    </w:p>
    <w:p w14:paraId="40BBC653" w14:textId="77777777" w:rsidR="0047242A" w:rsidRPr="0047242A" w:rsidRDefault="41B8F915" w:rsidP="1B62D7D4">
      <w:pPr>
        <w:numPr>
          <w:ilvl w:val="0"/>
          <w:numId w:val="47"/>
        </w:numPr>
        <w:tabs>
          <w:tab w:val="clear" w:pos="720"/>
          <w:tab w:val="num" w:pos="360"/>
        </w:tabs>
        <w:spacing w:after="240"/>
        <w:ind w:left="360"/>
      </w:pPr>
      <w:r>
        <w:t>Marketing, exhibits, and nonaccredited education developed by or with influence from an ineligible company </w:t>
      </w:r>
      <w:r w:rsidRPr="1B62D7D4">
        <w:rPr>
          <w:i/>
          <w:iCs/>
        </w:rPr>
        <w:t>or with planners or faculty with unmitigated financial relationships</w:t>
      </w:r>
      <w:r>
        <w:t> must not occur in the educational space within 30 minutes before or after an accredited education activity. The 30-minute requirement is not applicable if the non-CME activity occurs in a separate room. Nonaccredited activities that are part of the event but are not accredited for continuing education must be clearly labeled and communicated as such.  </w:t>
      </w:r>
    </w:p>
    <w:p w14:paraId="7EB4342B" w14:textId="77777777" w:rsidR="0047242A" w:rsidRPr="0047242A" w:rsidRDefault="41B8F915" w:rsidP="1B62D7D4">
      <w:pPr>
        <w:numPr>
          <w:ilvl w:val="0"/>
          <w:numId w:val="33"/>
        </w:numPr>
        <w:tabs>
          <w:tab w:val="clear" w:pos="720"/>
          <w:tab w:val="num" w:pos="360"/>
        </w:tabs>
        <w:spacing w:after="240"/>
        <w:ind w:left="360"/>
      </w:pPr>
      <w:r>
        <w:t>Learners must not be presented with marketing while engaged in the accredited education, including with print or online activities. Learners must be able to engage with the accredited education without having to click through, watch, listen to, or be presented with product promotion or product-specific advertisements. </w:t>
      </w:r>
    </w:p>
    <w:p w14:paraId="6242438A" w14:textId="77777777" w:rsidR="0047242A" w:rsidRPr="0047242A" w:rsidRDefault="41B8F915" w:rsidP="1B62D7D4">
      <w:pPr>
        <w:numPr>
          <w:ilvl w:val="0"/>
          <w:numId w:val="60"/>
        </w:numPr>
        <w:tabs>
          <w:tab w:val="clear" w:pos="720"/>
          <w:tab w:val="num" w:pos="360"/>
        </w:tabs>
        <w:spacing w:after="240"/>
        <w:ind w:left="360"/>
      </w:pPr>
      <w:r>
        <w:t>Educational materials that are part of accredited education (such as slides, abstracts, handouts, evaluation mechanisms, or disclosure information) must not contain any marketing produced by or for an ineligible company, including corporate or product logos, trade names, or product group messages. </w:t>
      </w:r>
    </w:p>
    <w:p w14:paraId="2325F0F5" w14:textId="77777777" w:rsidR="0047242A" w:rsidRPr="0047242A" w:rsidRDefault="41B8F915" w:rsidP="1B62D7D4">
      <w:pPr>
        <w:numPr>
          <w:ilvl w:val="0"/>
          <w:numId w:val="3"/>
        </w:numPr>
        <w:tabs>
          <w:tab w:val="clear" w:pos="720"/>
          <w:tab w:val="num" w:pos="360"/>
        </w:tabs>
        <w:spacing w:after="240"/>
        <w:ind w:left="360"/>
      </w:pPr>
      <w:r>
        <w:t>The FSM Office of CME Hold Harmless Agreement must be completed and submitted to the Office of CME prior to the activity. The Hold Harmless Agreement includes logistical information for the exhibitors.  </w:t>
      </w:r>
    </w:p>
    <w:p w14:paraId="29B5DAFA" w14:textId="7BD93AA3" w:rsidR="0047242A" w:rsidRDefault="41B8F915" w:rsidP="1B62D7D4">
      <w:pPr>
        <w:numPr>
          <w:ilvl w:val="0"/>
          <w:numId w:val="59"/>
        </w:numPr>
        <w:tabs>
          <w:tab w:val="clear" w:pos="720"/>
          <w:tab w:val="num" w:pos="360"/>
        </w:tabs>
        <w:spacing w:after="240"/>
        <w:ind w:left="360"/>
      </w:pPr>
      <w:r>
        <w:t>Additional clarifications are available under </w:t>
      </w:r>
      <w:hyperlink r:id="rId46">
        <w:r w:rsidRPr="1B62D7D4">
          <w:rPr>
            <w:rStyle w:val="Hyperlink"/>
          </w:rPr>
          <w:t>Standard 5: Manage Commercial Support</w:t>
        </w:r>
      </w:hyperlink>
      <w:r>
        <w:t> on the ACCME website.  </w:t>
      </w:r>
    </w:p>
    <w:p w14:paraId="576852C3" w14:textId="5066E473" w:rsidR="00EA6484" w:rsidRDefault="2081AFD7" w:rsidP="1B62D7D4">
      <w:pPr>
        <w:pStyle w:val="Heading2"/>
        <w:spacing w:before="0" w:after="240"/>
        <w:rPr>
          <w:rFonts w:ascii="Calibri" w:hAnsi="Calibri"/>
        </w:rPr>
      </w:pPr>
      <w:bookmarkStart w:id="163" w:name="_Toc1583373191"/>
      <w:bookmarkStart w:id="164" w:name="_Toc1410960289"/>
      <w:bookmarkStart w:id="165" w:name="_Toc238829285"/>
      <w:r w:rsidRPr="1B62D7D4">
        <w:rPr>
          <w:rFonts w:ascii="Calibri" w:hAnsi="Calibri"/>
        </w:rPr>
        <w:t>1</w:t>
      </w:r>
      <w:r w:rsidR="46CD4C17" w:rsidRPr="1B62D7D4">
        <w:rPr>
          <w:rFonts w:ascii="Calibri" w:hAnsi="Calibri"/>
        </w:rPr>
        <w:t>5</w:t>
      </w:r>
      <w:r w:rsidRPr="1B62D7D4">
        <w:rPr>
          <w:rFonts w:ascii="Calibri" w:hAnsi="Calibri"/>
        </w:rPr>
        <w:t>.1 Separation requirements</w:t>
      </w:r>
      <w:bookmarkEnd w:id="163"/>
      <w:bookmarkEnd w:id="164"/>
      <w:bookmarkEnd w:id="165"/>
    </w:p>
    <w:p w14:paraId="583BF315" w14:textId="77777777" w:rsidR="00EA6484" w:rsidRDefault="1653D51A" w:rsidP="1B62D7D4">
      <w:pPr>
        <w:pStyle w:val="ListBullet"/>
        <w:spacing w:after="240"/>
      </w:pPr>
      <w:r>
        <w:t>Marketing/exhibits must not influence planning, delivery, or evaluation of education.</w:t>
      </w:r>
    </w:p>
    <w:p w14:paraId="0EE94A38" w14:textId="77777777" w:rsidR="00EA6484" w:rsidRDefault="1653D51A" w:rsidP="1B62D7D4">
      <w:pPr>
        <w:pStyle w:val="ListBullet"/>
        <w:spacing w:after="240"/>
      </w:pPr>
      <w:r>
        <w:t>Marketing/exhibits must not occur in the educational space within 30 minutes before or after accredited education (unless in a separate room).</w:t>
      </w:r>
    </w:p>
    <w:p w14:paraId="26D0F4CD" w14:textId="77777777" w:rsidR="00EA6484" w:rsidRDefault="1653D51A" w:rsidP="1B62D7D4">
      <w:pPr>
        <w:pStyle w:val="ListBullet"/>
        <w:spacing w:after="240"/>
      </w:pPr>
      <w:r>
        <w:t>Educational materials (slides, handouts, disclosures, evaluations) must not contain marketing, logos, trade names, or product messages from ineligible companies.</w:t>
      </w:r>
    </w:p>
    <w:p w14:paraId="394C27A0" w14:textId="5D738D02" w:rsidR="00EA6484" w:rsidRDefault="1653D51A" w:rsidP="1B62D7D4">
      <w:pPr>
        <w:spacing w:after="240"/>
      </w:pPr>
      <w:r>
        <w:t>Exhibitor documentation:</w:t>
      </w:r>
      <w:r w:rsidR="3A46D043">
        <w:t xml:space="preserve"> </w:t>
      </w:r>
      <w:hyperlink r:id="rId47">
        <w:r w:rsidRPr="1B62D7D4">
          <w:rPr>
            <w:color w:val="0563C1"/>
            <w:u w:val="single"/>
          </w:rPr>
          <w:t>Hold Harmless Agreement (Exhibitors)</w:t>
        </w:r>
      </w:hyperlink>
      <w:r w:rsidR="3A46D043">
        <w:t xml:space="preserve">; </w:t>
      </w:r>
      <w:hyperlink r:id="rId48">
        <w:r w:rsidRPr="1B62D7D4">
          <w:rPr>
            <w:color w:val="0563C1"/>
            <w:u w:val="single"/>
          </w:rPr>
          <w:t>Hold Harmless Agreement (Virtual Exhibit Hall)</w:t>
        </w:r>
      </w:hyperlink>
    </w:p>
    <w:p w14:paraId="39990615" w14:textId="32126DD8" w:rsidR="00EA6484" w:rsidRDefault="2081AFD7" w:rsidP="1B62D7D4">
      <w:pPr>
        <w:pStyle w:val="Heading1"/>
        <w:spacing w:after="240"/>
        <w:rPr>
          <w:rFonts w:ascii="Calibri" w:hAnsi="Calibri"/>
        </w:rPr>
      </w:pPr>
      <w:bookmarkStart w:id="166" w:name="_Toc1302729929"/>
      <w:bookmarkStart w:id="167" w:name="_Toc1186157677"/>
      <w:bookmarkStart w:id="168" w:name="_Toc238829286"/>
      <w:r w:rsidRPr="1B62D7D4">
        <w:rPr>
          <w:rFonts w:ascii="Calibri" w:hAnsi="Calibri"/>
        </w:rPr>
        <w:lastRenderedPageBreak/>
        <w:t>1</w:t>
      </w:r>
      <w:r w:rsidR="60B03623" w:rsidRPr="1B62D7D4">
        <w:rPr>
          <w:rFonts w:ascii="Calibri" w:hAnsi="Calibri"/>
        </w:rPr>
        <w:t>6</w:t>
      </w:r>
      <w:r w:rsidRPr="1B62D7D4">
        <w:rPr>
          <w:rFonts w:ascii="Calibri" w:hAnsi="Calibri"/>
        </w:rPr>
        <w:t>. Social Events and Meals</w:t>
      </w:r>
      <w:bookmarkEnd w:id="166"/>
      <w:bookmarkEnd w:id="167"/>
      <w:bookmarkEnd w:id="168"/>
    </w:p>
    <w:p w14:paraId="3E8B2F1E" w14:textId="77777777" w:rsidR="00EA6484" w:rsidRDefault="1653D51A" w:rsidP="1B62D7D4">
      <w:pPr>
        <w:pStyle w:val="ListBullet"/>
        <w:spacing w:after="240"/>
      </w:pPr>
      <w:r>
        <w:t>Social events and meals are acceptable if they do not compete with or take precedence over education.</w:t>
      </w:r>
    </w:p>
    <w:p w14:paraId="7C9B636B" w14:textId="77777777" w:rsidR="00EA6484" w:rsidRDefault="1653D51A" w:rsidP="1B62D7D4">
      <w:pPr>
        <w:pStyle w:val="ListBullet"/>
        <w:spacing w:after="240"/>
      </w:pPr>
      <w:r>
        <w:t>Meals and receptions must be modest and conducive to professional discussion.</w:t>
      </w:r>
    </w:p>
    <w:p w14:paraId="7041F1AF" w14:textId="77777777" w:rsidR="00EA6484" w:rsidRDefault="1653D51A" w:rsidP="1B62D7D4">
      <w:pPr>
        <w:pStyle w:val="ListBullet"/>
        <w:spacing w:after="240"/>
      </w:pPr>
      <w:r>
        <w:t>Social events cannot be scheduled at the same time as the educational sessions.</w:t>
      </w:r>
    </w:p>
    <w:p w14:paraId="2CE1C37B" w14:textId="77777777" w:rsidR="00EA6484" w:rsidRDefault="1653D51A" w:rsidP="1B62D7D4">
      <w:pPr>
        <w:pStyle w:val="ListBullet"/>
        <w:spacing w:after="240"/>
      </w:pPr>
      <w:r>
        <w:t xml:space="preserve">Any </w:t>
      </w:r>
      <w:proofErr w:type="gramStart"/>
      <w:r>
        <w:t>industry</w:t>
      </w:r>
      <w:proofErr w:type="gramEnd"/>
      <w:r>
        <w:t xml:space="preserve"> support of social events must follow the same rules for commercial support and must be disclosed without logos.</w:t>
      </w:r>
    </w:p>
    <w:p w14:paraId="6A3B327E" w14:textId="061BAFC5" w:rsidR="0047242A" w:rsidRDefault="41B8F915" w:rsidP="1B62D7D4">
      <w:pPr>
        <w:pStyle w:val="ListBullet"/>
        <w:spacing w:after="240"/>
      </w:pPr>
      <w:r>
        <w:t>Meals, such as lunches, refreshments, and receptions that are included in the activity fee and available for all attendees are appropriate. </w:t>
      </w:r>
    </w:p>
    <w:p w14:paraId="6C1517BA" w14:textId="1FEED3D2" w:rsidR="00EA6484" w:rsidRDefault="2081AFD7" w:rsidP="1B62D7D4">
      <w:pPr>
        <w:pStyle w:val="Heading1"/>
        <w:spacing w:after="240"/>
        <w:rPr>
          <w:rFonts w:ascii="Calibri" w:hAnsi="Calibri"/>
        </w:rPr>
      </w:pPr>
      <w:bookmarkStart w:id="169" w:name="_Toc23486123"/>
      <w:bookmarkStart w:id="170" w:name="_Toc2032165639"/>
      <w:bookmarkStart w:id="171" w:name="_Toc238829287"/>
      <w:r w:rsidRPr="1B62D7D4">
        <w:rPr>
          <w:rFonts w:ascii="Calibri" w:hAnsi="Calibri"/>
        </w:rPr>
        <w:t>1</w:t>
      </w:r>
      <w:r w:rsidR="00979C86" w:rsidRPr="1B62D7D4">
        <w:rPr>
          <w:rFonts w:ascii="Calibri" w:hAnsi="Calibri"/>
        </w:rPr>
        <w:t>7</w:t>
      </w:r>
      <w:r w:rsidRPr="1B62D7D4">
        <w:rPr>
          <w:rFonts w:ascii="Calibri" w:hAnsi="Calibri"/>
        </w:rPr>
        <w:t>. Honoraria and Travel Reimbursement</w:t>
      </w:r>
      <w:bookmarkEnd w:id="169"/>
      <w:bookmarkEnd w:id="170"/>
      <w:bookmarkEnd w:id="171"/>
    </w:p>
    <w:p w14:paraId="003C36CE" w14:textId="10DE7531" w:rsidR="00EA6484" w:rsidRDefault="2081AFD7" w:rsidP="1B62D7D4">
      <w:pPr>
        <w:pStyle w:val="Heading2"/>
        <w:spacing w:before="0" w:after="240"/>
        <w:rPr>
          <w:rFonts w:ascii="Calibri" w:hAnsi="Calibri"/>
        </w:rPr>
      </w:pPr>
      <w:bookmarkStart w:id="172" w:name="_Toc12667404"/>
      <w:bookmarkStart w:id="173" w:name="_Toc1318836320"/>
      <w:bookmarkStart w:id="174" w:name="_Toc238829288"/>
      <w:r w:rsidRPr="1B62D7D4">
        <w:rPr>
          <w:rFonts w:ascii="Calibri" w:hAnsi="Calibri"/>
        </w:rPr>
        <w:t>1</w:t>
      </w:r>
      <w:r w:rsidR="19F937A4" w:rsidRPr="1B62D7D4">
        <w:rPr>
          <w:rFonts w:ascii="Calibri" w:hAnsi="Calibri"/>
        </w:rPr>
        <w:t>7</w:t>
      </w:r>
      <w:r w:rsidRPr="1B62D7D4">
        <w:rPr>
          <w:rFonts w:ascii="Calibri" w:hAnsi="Calibri"/>
        </w:rPr>
        <w:t>.1 Honoraria</w:t>
      </w:r>
      <w:bookmarkEnd w:id="172"/>
      <w:bookmarkEnd w:id="173"/>
      <w:bookmarkEnd w:id="174"/>
    </w:p>
    <w:p w14:paraId="210F369C" w14:textId="77777777" w:rsidR="00EA6484" w:rsidRDefault="1653D51A" w:rsidP="1B62D7D4">
      <w:pPr>
        <w:spacing w:after="240"/>
      </w:pPr>
      <w:r>
        <w:t>Reasonable honoraria may be provided to planners and faculty consistent with fair market value and institutional policy. The Office of CME will review honoraria for reasonableness and equity.</w:t>
      </w:r>
    </w:p>
    <w:p w14:paraId="5FAEB3DF" w14:textId="72496E67" w:rsidR="00EA6484" w:rsidRDefault="2081AFD7" w:rsidP="1B62D7D4">
      <w:pPr>
        <w:pStyle w:val="Heading2"/>
        <w:spacing w:before="0" w:after="240"/>
        <w:rPr>
          <w:rFonts w:ascii="Calibri" w:hAnsi="Calibri"/>
        </w:rPr>
      </w:pPr>
      <w:bookmarkStart w:id="175" w:name="_Toc886998815"/>
      <w:bookmarkStart w:id="176" w:name="_Toc1284944803"/>
      <w:bookmarkStart w:id="177" w:name="_Toc238829289"/>
      <w:r w:rsidRPr="1B62D7D4">
        <w:rPr>
          <w:rFonts w:ascii="Calibri" w:hAnsi="Calibri"/>
        </w:rPr>
        <w:t>1</w:t>
      </w:r>
      <w:r w:rsidR="48C68AFB" w:rsidRPr="1B62D7D4">
        <w:rPr>
          <w:rFonts w:ascii="Calibri" w:hAnsi="Calibri"/>
        </w:rPr>
        <w:t>7</w:t>
      </w:r>
      <w:r w:rsidRPr="1B62D7D4">
        <w:rPr>
          <w:rFonts w:ascii="Calibri" w:hAnsi="Calibri"/>
        </w:rPr>
        <w:t>.2 Travel and accommodations</w:t>
      </w:r>
      <w:bookmarkEnd w:id="175"/>
      <w:bookmarkEnd w:id="176"/>
      <w:bookmarkEnd w:id="177"/>
    </w:p>
    <w:p w14:paraId="4C3758E3" w14:textId="77777777" w:rsidR="00EA6484" w:rsidRDefault="1653D51A" w:rsidP="1B62D7D4">
      <w:pPr>
        <w:spacing w:after="240"/>
      </w:pPr>
      <w:r>
        <w:t>Reimbursement of reasonable travel, accommodations, and meals for participating faculty is permitted when supported by receipts and consistent with Northwestern University travel and entertainment policy. Faculty may not accept reimbursement for spouse/guest expenses.</w:t>
      </w:r>
    </w:p>
    <w:p w14:paraId="0259E55E" w14:textId="12AEBAD3" w:rsidR="00EA6484" w:rsidRDefault="1653D51A" w:rsidP="1B62D7D4">
      <w:pPr>
        <w:spacing w:after="240"/>
      </w:pPr>
      <w:r>
        <w:t>Northwestern University Travel &amp; Entertainment Policy:</w:t>
      </w:r>
      <w:r w:rsidR="31AB0F8E">
        <w:t xml:space="preserve"> </w:t>
      </w:r>
      <w:hyperlink r:id="rId49">
        <w:r w:rsidRPr="1B62D7D4">
          <w:rPr>
            <w:color w:val="0563C1"/>
            <w:u w:val="single"/>
          </w:rPr>
          <w:t>Travel &amp; Entertainment Policy (PDF)</w:t>
        </w:r>
      </w:hyperlink>
    </w:p>
    <w:p w14:paraId="4DC10603" w14:textId="69C243CB" w:rsidR="00EA6484" w:rsidRDefault="2081AFD7" w:rsidP="1B62D7D4">
      <w:pPr>
        <w:pStyle w:val="Heading1"/>
        <w:spacing w:after="240"/>
        <w:rPr>
          <w:rFonts w:ascii="Calibri" w:hAnsi="Calibri"/>
        </w:rPr>
      </w:pPr>
      <w:bookmarkStart w:id="178" w:name="_Toc331701182"/>
      <w:bookmarkStart w:id="179" w:name="_Toc1652461268"/>
      <w:bookmarkStart w:id="180" w:name="_Toc238829290"/>
      <w:r w:rsidRPr="1B62D7D4">
        <w:rPr>
          <w:rFonts w:ascii="Calibri" w:hAnsi="Calibri"/>
        </w:rPr>
        <w:t>1</w:t>
      </w:r>
      <w:r w:rsidR="50542CF2" w:rsidRPr="1B62D7D4">
        <w:rPr>
          <w:rFonts w:ascii="Calibri" w:hAnsi="Calibri"/>
        </w:rPr>
        <w:t>8</w:t>
      </w:r>
      <w:r w:rsidRPr="1B62D7D4">
        <w:rPr>
          <w:rFonts w:ascii="Calibri" w:hAnsi="Calibri"/>
        </w:rPr>
        <w:t>. Financial Responsibilities and Records</w:t>
      </w:r>
      <w:bookmarkEnd w:id="178"/>
      <w:bookmarkEnd w:id="179"/>
      <w:bookmarkEnd w:id="180"/>
    </w:p>
    <w:p w14:paraId="01108A25" w14:textId="77777777" w:rsidR="00EA6484" w:rsidRDefault="1653D51A" w:rsidP="1B62D7D4">
      <w:pPr>
        <w:pStyle w:val="ListBullet"/>
        <w:spacing w:after="240"/>
      </w:pPr>
      <w:r>
        <w:t xml:space="preserve">All income and </w:t>
      </w:r>
      <w:proofErr w:type="gramStart"/>
      <w:r>
        <w:t>expenditures</w:t>
      </w:r>
      <w:proofErr w:type="gramEnd"/>
      <w:r>
        <w:t xml:space="preserve"> (registration, grants, in-kind, exhibits, etc.) must be managed with the full knowledge of the Office of CME.</w:t>
      </w:r>
    </w:p>
    <w:p w14:paraId="72906AE1" w14:textId="7C399396" w:rsidR="00EA6484" w:rsidRDefault="1653D51A" w:rsidP="1B62D7D4">
      <w:pPr>
        <w:pStyle w:val="ListBullet"/>
        <w:spacing w:after="240"/>
      </w:pPr>
      <w:r>
        <w:t>A budget estimate is required with the CME application (</w:t>
      </w:r>
      <w:r w:rsidR="39B1F5DF">
        <w:t>except for</w:t>
      </w:r>
      <w:r>
        <w:t xml:space="preserve"> RSS unless accepting external support).</w:t>
      </w:r>
    </w:p>
    <w:p w14:paraId="296137D8" w14:textId="77777777" w:rsidR="00EA6484" w:rsidRDefault="1653D51A" w:rsidP="1B62D7D4">
      <w:pPr>
        <w:pStyle w:val="ListBullet"/>
        <w:spacing w:after="240"/>
      </w:pPr>
      <w:r>
        <w:t>Significant budget changes must be communicated to the Office of CME.</w:t>
      </w:r>
    </w:p>
    <w:p w14:paraId="11A83376" w14:textId="77777777" w:rsidR="00EA6484" w:rsidRDefault="1653D51A" w:rsidP="1B62D7D4">
      <w:pPr>
        <w:pStyle w:val="ListBullet"/>
        <w:spacing w:after="240"/>
      </w:pPr>
      <w:r>
        <w:t>A final expense report and attendance records are required for close-out and auditing.</w:t>
      </w:r>
    </w:p>
    <w:p w14:paraId="7770DA03" w14:textId="77777777" w:rsidR="0047242A" w:rsidRDefault="41B8F915" w:rsidP="1B62D7D4">
      <w:pPr>
        <w:pStyle w:val="ListBullet"/>
        <w:spacing w:after="240"/>
        <w:rPr>
          <w:i/>
          <w:iCs/>
        </w:rPr>
      </w:pPr>
      <w:r w:rsidRPr="1B62D7D4">
        <w:rPr>
          <w:rStyle w:val="normaltextrun"/>
          <w:rFonts w:cs="Calibri"/>
        </w:rPr>
        <w:t>The sponsoring department of the activity is responsible for the activity’s cost and any deficit that may result from the activity.</w:t>
      </w:r>
      <w:r w:rsidRPr="1B62D7D4">
        <w:rPr>
          <w:rStyle w:val="eop"/>
          <w:rFonts w:cs="Calibri"/>
          <w:i/>
          <w:iCs/>
        </w:rPr>
        <w:t> </w:t>
      </w:r>
    </w:p>
    <w:p w14:paraId="4F528D93" w14:textId="03045F95" w:rsidR="0047242A" w:rsidRPr="0047242A" w:rsidRDefault="41B8F915" w:rsidP="1B62D7D4">
      <w:pPr>
        <w:pStyle w:val="ListBullet"/>
        <w:spacing w:after="240"/>
        <w:rPr>
          <w:i/>
          <w:iCs/>
        </w:rPr>
      </w:pPr>
      <w:r w:rsidRPr="1B62D7D4">
        <w:rPr>
          <w:rStyle w:val="normaltextrun"/>
          <w:rFonts w:cs="Calibri"/>
        </w:rPr>
        <w:t xml:space="preserve">Co/jointly provided organizations may manage the receipt and distribution of the activity’s funding upon approval of the budget by the FSM Office of CME. Both sponsoring parties, prior to the development of the educational activity, must sign a letter of agreement detailing </w:t>
      </w:r>
      <w:r w:rsidRPr="1B62D7D4">
        <w:rPr>
          <w:rStyle w:val="normaltextrun"/>
          <w:rFonts w:cs="Calibri"/>
        </w:rPr>
        <w:lastRenderedPageBreak/>
        <w:t>each </w:t>
      </w:r>
      <w:proofErr w:type="gramStart"/>
      <w:r w:rsidRPr="1B62D7D4">
        <w:rPr>
          <w:rStyle w:val="normaltextrun"/>
          <w:rFonts w:cs="Calibri"/>
        </w:rPr>
        <w:t>sponsors’</w:t>
      </w:r>
      <w:proofErr w:type="gramEnd"/>
      <w:r w:rsidRPr="1B62D7D4">
        <w:rPr>
          <w:rStyle w:val="normaltextrun"/>
          <w:rFonts w:cs="Calibri"/>
        </w:rPr>
        <w:t> roles and responsibilities. At the conclusion of the activity, the co/joint provider must provide the Office of CME with a detailed distribution of the activity’s revenue and expenditures.</w:t>
      </w:r>
      <w:r w:rsidRPr="1B62D7D4">
        <w:rPr>
          <w:rStyle w:val="eop"/>
          <w:rFonts w:cs="Calibri"/>
          <w:i/>
          <w:iCs/>
        </w:rPr>
        <w:t> </w:t>
      </w:r>
    </w:p>
    <w:p w14:paraId="7CCAEF1C" w14:textId="5FEF01B6" w:rsidR="00EA6484" w:rsidRDefault="2081AFD7" w:rsidP="1B62D7D4">
      <w:pPr>
        <w:pStyle w:val="Heading1"/>
        <w:spacing w:after="240"/>
        <w:rPr>
          <w:rFonts w:ascii="Calibri" w:hAnsi="Calibri"/>
        </w:rPr>
      </w:pPr>
      <w:bookmarkStart w:id="181" w:name="_Toc292814469"/>
      <w:bookmarkStart w:id="182" w:name="_Toc885115604"/>
      <w:bookmarkStart w:id="183" w:name="_Toc238829291"/>
      <w:r w:rsidRPr="1B62D7D4">
        <w:rPr>
          <w:rFonts w:ascii="Calibri" w:hAnsi="Calibri"/>
        </w:rPr>
        <w:t>1</w:t>
      </w:r>
      <w:r w:rsidR="134AF2EC" w:rsidRPr="1B62D7D4">
        <w:rPr>
          <w:rFonts w:ascii="Calibri" w:hAnsi="Calibri"/>
        </w:rPr>
        <w:t>9</w:t>
      </w:r>
      <w:r w:rsidRPr="1B62D7D4">
        <w:rPr>
          <w:rFonts w:ascii="Calibri" w:hAnsi="Calibri"/>
        </w:rPr>
        <w:t>. Course Evaluation and Close-out</w:t>
      </w:r>
      <w:bookmarkEnd w:id="181"/>
      <w:bookmarkEnd w:id="182"/>
      <w:bookmarkEnd w:id="183"/>
    </w:p>
    <w:p w14:paraId="1043FCB0" w14:textId="77777777" w:rsidR="00EA6484" w:rsidRDefault="1653D51A" w:rsidP="1B62D7D4">
      <w:pPr>
        <w:pStyle w:val="ListBullet"/>
        <w:spacing w:after="240"/>
      </w:pPr>
      <w:r>
        <w:t>Collect participant evaluations and review results to assess whether objectives were met and identify opportunities for improvement.</w:t>
      </w:r>
    </w:p>
    <w:p w14:paraId="1B4194A0" w14:textId="01626477" w:rsidR="00EA6484" w:rsidRDefault="1653D51A" w:rsidP="1B62D7D4">
      <w:pPr>
        <w:pStyle w:val="ListBullet"/>
        <w:spacing w:after="240"/>
      </w:pPr>
      <w:r>
        <w:t>Submit post-activity documentation (final budget, attendance, evaluation summary) by the Office of CME deadline.</w:t>
      </w:r>
      <w:r w:rsidR="47BB7053">
        <w:t xml:space="preserve"> This includes grant reconciliation and return of unused funds, if applicable.</w:t>
      </w:r>
    </w:p>
    <w:p w14:paraId="3DEF89CE" w14:textId="77777777" w:rsidR="00EA6484" w:rsidRDefault="1653D51A" w:rsidP="1B62D7D4">
      <w:pPr>
        <w:pStyle w:val="ListBullet"/>
        <w:spacing w:after="240"/>
      </w:pPr>
      <w:r>
        <w:t>Retain records as required for accreditation and institutional policies.</w:t>
      </w:r>
    </w:p>
    <w:p w14:paraId="23736E3E" w14:textId="77777777" w:rsidR="0047242A" w:rsidRDefault="0047242A" w:rsidP="1B62D7D4">
      <w:pPr>
        <w:spacing w:after="240"/>
        <w:rPr>
          <w:rFonts w:asciiTheme="majorHAnsi" w:eastAsiaTheme="majorEastAsia" w:hAnsiTheme="majorHAnsi" w:cstheme="majorBidi"/>
          <w:b/>
          <w:bCs/>
          <w:color w:val="365F91" w:themeColor="accent1" w:themeShade="BF"/>
          <w:sz w:val="32"/>
          <w:szCs w:val="32"/>
        </w:rPr>
      </w:pPr>
      <w:r>
        <w:br w:type="page"/>
      </w:r>
    </w:p>
    <w:p w14:paraId="298668D9" w14:textId="59D38A74" w:rsidR="00EA6484" w:rsidRDefault="2081AFD7" w:rsidP="1B62D7D4">
      <w:pPr>
        <w:pStyle w:val="Heading1"/>
        <w:spacing w:after="240"/>
        <w:rPr>
          <w:rFonts w:ascii="Calibri" w:hAnsi="Calibri"/>
        </w:rPr>
      </w:pPr>
      <w:bookmarkStart w:id="184" w:name="_Toc2028513231"/>
      <w:bookmarkStart w:id="185" w:name="_Toc2142691292"/>
      <w:bookmarkStart w:id="186" w:name="_Toc238829292"/>
      <w:r w:rsidRPr="1B62D7D4">
        <w:rPr>
          <w:rFonts w:ascii="Calibri" w:hAnsi="Calibri"/>
        </w:rPr>
        <w:lastRenderedPageBreak/>
        <w:t>Appendix A. Glossary</w:t>
      </w:r>
      <w:bookmarkEnd w:id="184"/>
      <w:bookmarkEnd w:id="185"/>
      <w:bookmarkEnd w:id="186"/>
    </w:p>
    <w:p w14:paraId="24710B79" w14:textId="1E258363" w:rsidR="00EA6484" w:rsidRDefault="1653D51A" w:rsidP="1B62D7D4">
      <w:pPr>
        <w:spacing w:after="240"/>
      </w:pPr>
      <w:r w:rsidRPr="1B62D7D4">
        <w:rPr>
          <w:b/>
          <w:bCs/>
        </w:rPr>
        <w:t xml:space="preserve">ACCME: </w:t>
      </w:r>
      <w:r>
        <w:t>Accreditation Council for Continuing Medical Education</w:t>
      </w:r>
      <w:r w:rsidR="55DF6CE6">
        <w:t xml:space="preserve">, </w:t>
      </w:r>
      <w:r w:rsidR="05EA8416">
        <w:t>the</w:t>
      </w:r>
      <w:r w:rsidR="55DF6CE6">
        <w:t xml:space="preserve"> national organization that accredits CME providers. </w:t>
      </w:r>
    </w:p>
    <w:p w14:paraId="1FD1F51B" w14:textId="77777777" w:rsidR="00EA6484" w:rsidRDefault="1653D51A" w:rsidP="1B62D7D4">
      <w:pPr>
        <w:spacing w:after="240"/>
      </w:pPr>
      <w:r w:rsidRPr="1B62D7D4">
        <w:rPr>
          <w:b/>
          <w:bCs/>
        </w:rPr>
        <w:t xml:space="preserve">Accredited CME/CE: </w:t>
      </w:r>
      <w:r>
        <w:t>Education that meets accrediting body requirements for independence, validity, and outcomes.</w:t>
      </w:r>
    </w:p>
    <w:p w14:paraId="54B4BF9C" w14:textId="77777777" w:rsidR="00EA6484" w:rsidRDefault="1653D51A" w:rsidP="1B62D7D4">
      <w:pPr>
        <w:spacing w:after="240"/>
      </w:pPr>
      <w:r w:rsidRPr="1B62D7D4">
        <w:rPr>
          <w:b/>
          <w:bCs/>
          <w:i/>
          <w:iCs/>
        </w:rPr>
        <w:t>AMA PRA Category 1 Credit™</w:t>
      </w:r>
      <w:r w:rsidRPr="1B62D7D4">
        <w:rPr>
          <w:b/>
          <w:bCs/>
        </w:rPr>
        <w:t xml:space="preserve">: </w:t>
      </w:r>
      <w:r>
        <w:t>Credit type awarded to eligible physicians.</w:t>
      </w:r>
    </w:p>
    <w:p w14:paraId="3527A35B" w14:textId="77777777" w:rsidR="00EA6484" w:rsidRDefault="1653D51A" w:rsidP="1B62D7D4">
      <w:pPr>
        <w:spacing w:after="240"/>
      </w:pPr>
      <w:r w:rsidRPr="1B62D7D4">
        <w:rPr>
          <w:b/>
          <w:bCs/>
        </w:rPr>
        <w:t xml:space="preserve">Commercial support: </w:t>
      </w:r>
      <w:r>
        <w:t>Financial or in-kind support from ineligible companies for accredited education.</w:t>
      </w:r>
    </w:p>
    <w:p w14:paraId="6B3543A4" w14:textId="1E95FDAE" w:rsidR="00A126B4" w:rsidRDefault="55DF6CE6" w:rsidP="1B62D7D4">
      <w:pPr>
        <w:spacing w:after="240"/>
        <w:rPr>
          <w:b/>
          <w:bCs/>
        </w:rPr>
      </w:pPr>
      <w:r w:rsidRPr="1B62D7D4">
        <w:rPr>
          <w:b/>
          <w:bCs/>
        </w:rPr>
        <w:t>Commercial promotion (marketing/exhibiting): </w:t>
      </w:r>
      <w:r>
        <w:t>Commercial support of an activity that includes an opportunity for a company to present itself to attendees outside of the education space.</w:t>
      </w:r>
      <w:r w:rsidRPr="1B62D7D4">
        <w:rPr>
          <w:b/>
          <w:bCs/>
        </w:rPr>
        <w:t> </w:t>
      </w:r>
    </w:p>
    <w:p w14:paraId="4CB2B22C" w14:textId="2CEBC019" w:rsidR="00EA6484" w:rsidRDefault="1653D51A" w:rsidP="1B62D7D4">
      <w:pPr>
        <w:spacing w:after="240"/>
      </w:pPr>
      <w:r w:rsidRPr="1B62D7D4">
        <w:rPr>
          <w:b/>
          <w:bCs/>
        </w:rPr>
        <w:t xml:space="preserve">Ineligible company: </w:t>
      </w:r>
      <w:r>
        <w:t>Entity whose primary business is producing, marketing, selling, re-selling, or distributing healthcare products used by or on patients.</w:t>
      </w:r>
    </w:p>
    <w:p w14:paraId="7E6A3333" w14:textId="77777777" w:rsidR="00EA6484" w:rsidRDefault="1653D51A" w:rsidP="1B62D7D4">
      <w:pPr>
        <w:spacing w:after="240"/>
      </w:pPr>
      <w:r w:rsidRPr="1B62D7D4">
        <w:rPr>
          <w:b/>
          <w:bCs/>
        </w:rPr>
        <w:t xml:space="preserve">Relevant financial relationship: </w:t>
      </w:r>
      <w:r>
        <w:t xml:space="preserve">A financial relationship with an ineligible company that is related to </w:t>
      </w:r>
      <w:bookmarkStart w:id="187" w:name="_Int_5h8GzLVo"/>
      <w:r>
        <w:t>the educational</w:t>
      </w:r>
      <w:bookmarkEnd w:id="187"/>
      <w:r>
        <w:t xml:space="preserve"> content (business lines/products).</w:t>
      </w:r>
    </w:p>
    <w:p w14:paraId="4B3B16F9" w14:textId="77777777" w:rsidR="00EA6484" w:rsidRDefault="1653D51A" w:rsidP="1B62D7D4">
      <w:pPr>
        <w:spacing w:after="240"/>
      </w:pPr>
      <w:r w:rsidRPr="1B62D7D4">
        <w:rPr>
          <w:b/>
          <w:bCs/>
        </w:rPr>
        <w:t xml:space="preserve">Mitigation: </w:t>
      </w:r>
      <w:r>
        <w:t>Steps taken to prevent commercial bias in accredited education when relevant financial relationships exist.</w:t>
      </w:r>
    </w:p>
    <w:p w14:paraId="34ED3A94" w14:textId="77777777" w:rsidR="00EA6484" w:rsidRDefault="1653D51A" w:rsidP="1B62D7D4">
      <w:pPr>
        <w:spacing w:after="240"/>
      </w:pPr>
      <w:r w:rsidRPr="1B62D7D4">
        <w:rPr>
          <w:b/>
          <w:bCs/>
        </w:rPr>
        <w:t xml:space="preserve">RSS: </w:t>
      </w:r>
      <w:r>
        <w:t>Regularly Scheduled Series</w:t>
      </w:r>
    </w:p>
    <w:p w14:paraId="0BED1DBB" w14:textId="77777777" w:rsidR="00EA6484" w:rsidRDefault="1653D51A" w:rsidP="1B62D7D4">
      <w:pPr>
        <w:spacing w:after="240"/>
      </w:pPr>
      <w:r w:rsidRPr="1B62D7D4">
        <w:rPr>
          <w:b/>
          <w:bCs/>
        </w:rPr>
        <w:t xml:space="preserve">LOA: </w:t>
      </w:r>
      <w:r>
        <w:t>Letter of Agreement documenting commercial support or other arrangements.</w:t>
      </w:r>
    </w:p>
    <w:p w14:paraId="4F5D36E4" w14:textId="47F50618" w:rsidR="00A126B4" w:rsidRPr="00A126B4" w:rsidRDefault="55DF6CE6" w:rsidP="1B62D7D4">
      <w:pPr>
        <w:spacing w:after="240"/>
      </w:pPr>
      <w:r w:rsidRPr="1B62D7D4">
        <w:rPr>
          <w:b/>
          <w:bCs/>
        </w:rPr>
        <w:t>Learner:</w:t>
      </w:r>
      <w:r>
        <w:t xml:space="preserve"> An attendee at a CME activity </w:t>
      </w:r>
    </w:p>
    <w:p w14:paraId="460FB660" w14:textId="77777777" w:rsidR="00A126B4" w:rsidRPr="00A126B4" w:rsidRDefault="55DF6CE6" w:rsidP="1B62D7D4">
      <w:pPr>
        <w:spacing w:after="240"/>
      </w:pPr>
      <w:r w:rsidRPr="1B62D7D4">
        <w:rPr>
          <w:b/>
          <w:bCs/>
        </w:rPr>
        <w:t>LOR:</w:t>
      </w:r>
      <w:r>
        <w:t xml:space="preserve"> Letter of Request — a document sent to potential commercial supporters </w:t>
      </w:r>
    </w:p>
    <w:p w14:paraId="3E1F0E3D" w14:textId="0501E9A8" w:rsidR="00A126B4" w:rsidRDefault="55DF6CE6" w:rsidP="1B62D7D4">
      <w:pPr>
        <w:spacing w:after="240"/>
      </w:pPr>
      <w:r w:rsidRPr="1B62D7D4">
        <w:rPr>
          <w:b/>
          <w:bCs/>
        </w:rPr>
        <w:t>HHA:</w:t>
      </w:r>
      <w:r>
        <w:t xml:space="preserve"> Hold Harmless Agreement — a comprehensive document for exhibitors that must be submitted to the OCME prior to an activity to permit them to participate </w:t>
      </w:r>
    </w:p>
    <w:p w14:paraId="229A39DF" w14:textId="77777777" w:rsidR="00EA6484" w:rsidRDefault="1653D51A" w:rsidP="1B62D7D4">
      <w:pPr>
        <w:spacing w:after="240"/>
      </w:pPr>
      <w:r w:rsidRPr="1B62D7D4">
        <w:rPr>
          <w:b/>
          <w:bCs/>
        </w:rPr>
        <w:t xml:space="preserve">MOC/CC: </w:t>
      </w:r>
      <w:r>
        <w:t>Maintenance of Certification / Continuing Certification points offered by specialty boards.</w:t>
      </w:r>
    </w:p>
    <w:p w14:paraId="44800DD3" w14:textId="77777777" w:rsidR="00A126B4" w:rsidRDefault="00A126B4" w:rsidP="1B62D7D4">
      <w:pPr>
        <w:spacing w:after="240"/>
        <w:rPr>
          <w:rFonts w:asciiTheme="majorHAnsi" w:eastAsiaTheme="majorEastAsia" w:hAnsiTheme="majorHAnsi" w:cstheme="majorBidi"/>
          <w:b/>
          <w:bCs/>
          <w:color w:val="365F91" w:themeColor="accent1" w:themeShade="BF"/>
          <w:sz w:val="32"/>
          <w:szCs w:val="32"/>
        </w:rPr>
      </w:pPr>
      <w:r>
        <w:br w:type="page"/>
      </w:r>
    </w:p>
    <w:p w14:paraId="2BFCDFE7" w14:textId="60FE760F" w:rsidR="00EA6484" w:rsidRDefault="2081AFD7" w:rsidP="1B62D7D4">
      <w:pPr>
        <w:pStyle w:val="Heading1"/>
        <w:spacing w:after="240"/>
        <w:rPr>
          <w:rFonts w:ascii="Calibri" w:hAnsi="Calibri"/>
          <w:szCs w:val="32"/>
        </w:rPr>
      </w:pPr>
      <w:bookmarkStart w:id="188" w:name="_Toc292030331"/>
      <w:bookmarkStart w:id="189" w:name="_Toc125677948"/>
      <w:bookmarkStart w:id="190" w:name="_Toc2103562004"/>
      <w:bookmarkStart w:id="191" w:name="_Toc238829293"/>
      <w:r w:rsidRPr="1B62D7D4">
        <w:rPr>
          <w:rFonts w:ascii="Calibri" w:hAnsi="Calibri"/>
          <w:szCs w:val="32"/>
        </w:rPr>
        <w:lastRenderedPageBreak/>
        <w:t xml:space="preserve">Appendix </w:t>
      </w:r>
      <w:r w:rsidR="4F4F3171" w:rsidRPr="1B62D7D4">
        <w:rPr>
          <w:rFonts w:ascii="Calibri" w:hAnsi="Calibri"/>
          <w:szCs w:val="32"/>
        </w:rPr>
        <w:t>B.</w:t>
      </w:r>
      <w:r w:rsidRPr="1B62D7D4">
        <w:rPr>
          <w:rFonts w:ascii="Calibri" w:hAnsi="Calibri"/>
          <w:szCs w:val="32"/>
        </w:rPr>
        <w:t xml:space="preserve"> Key Links and Templates</w:t>
      </w:r>
      <w:bookmarkEnd w:id="188"/>
      <w:bookmarkEnd w:id="189"/>
      <w:bookmarkEnd w:id="190"/>
      <w:bookmarkEnd w:id="191"/>
    </w:p>
    <w:p w14:paraId="1F2662B5" w14:textId="77777777" w:rsidR="00EA6484" w:rsidRDefault="003C2FB9">
      <w:pPr>
        <w:spacing w:after="120"/>
      </w:pPr>
      <w:r>
        <w:t xml:space="preserve">CME application portal: </w:t>
      </w:r>
      <w:hyperlink r:id="rId50">
        <w:r>
          <w:rPr>
            <w:color w:val="0563C1"/>
            <w:u w:val="single"/>
          </w:rPr>
          <w:t>northwestern.cloud-cme.com</w:t>
        </w:r>
      </w:hyperlink>
    </w:p>
    <w:p w14:paraId="1EA57FAA" w14:textId="77777777" w:rsidR="00EA6484" w:rsidRDefault="003C2FB9">
      <w:pPr>
        <w:spacing w:after="120"/>
      </w:pPr>
      <w:r>
        <w:t xml:space="preserve">Resources for planners (templates, forms, deadlines): </w:t>
      </w:r>
      <w:hyperlink r:id="rId51">
        <w:r>
          <w:rPr>
            <w:color w:val="0563C1"/>
            <w:u w:val="single"/>
          </w:rPr>
          <w:t>Resources page</w:t>
        </w:r>
      </w:hyperlink>
    </w:p>
    <w:p w14:paraId="4E1F624A" w14:textId="77777777" w:rsidR="00EA6484" w:rsidRDefault="003C2FB9">
      <w:pPr>
        <w:spacing w:after="120"/>
      </w:pPr>
      <w:r>
        <w:t xml:space="preserve">Online disclosure form: </w:t>
      </w:r>
      <w:hyperlink r:id="rId52">
        <w:r>
          <w:rPr>
            <w:color w:val="0563C1"/>
            <w:u w:val="single"/>
          </w:rPr>
          <w:t>Disclosure form</w:t>
        </w:r>
      </w:hyperlink>
    </w:p>
    <w:p w14:paraId="250AA04E" w14:textId="77777777" w:rsidR="00EA6484" w:rsidRDefault="003C2FB9">
      <w:pPr>
        <w:spacing w:after="120"/>
      </w:pPr>
      <w:r>
        <w:t xml:space="preserve">Hold Harmless Agreements (exhibitors): </w:t>
      </w:r>
      <w:hyperlink r:id="rId53">
        <w:r>
          <w:rPr>
            <w:color w:val="0563C1"/>
            <w:u w:val="single"/>
          </w:rPr>
          <w:t>In-person</w:t>
        </w:r>
      </w:hyperlink>
      <w:r>
        <w:t xml:space="preserve"> • </w:t>
      </w:r>
      <w:hyperlink r:id="rId54">
        <w:r>
          <w:rPr>
            <w:color w:val="0563C1"/>
            <w:u w:val="single"/>
          </w:rPr>
          <w:t>Virtual</w:t>
        </w:r>
      </w:hyperlink>
    </w:p>
    <w:p w14:paraId="23B487A3" w14:textId="77777777" w:rsidR="00EA6484" w:rsidRDefault="003C2FB9">
      <w:pPr>
        <w:spacing w:after="120"/>
      </w:pPr>
      <w:r>
        <w:t xml:space="preserve">Disclosure slides template (pptx): </w:t>
      </w:r>
      <w:hyperlink r:id="rId55">
        <w:r>
          <w:rPr>
            <w:color w:val="0563C1"/>
            <w:u w:val="single"/>
          </w:rPr>
          <w:t>Disclosure Slides</w:t>
        </w:r>
      </w:hyperlink>
    </w:p>
    <w:p w14:paraId="5FC42DA3" w14:textId="77777777" w:rsidR="00EA6484" w:rsidRDefault="003C2FB9">
      <w:pPr>
        <w:spacing w:after="120"/>
      </w:pPr>
      <w:r>
        <w:t xml:space="preserve">ACCME Standards: </w:t>
      </w:r>
      <w:hyperlink r:id="rId56">
        <w:r>
          <w:rPr>
            <w:color w:val="0563C1"/>
            <w:u w:val="single"/>
          </w:rPr>
          <w:t>Standards for Integrity and Independence</w:t>
        </w:r>
      </w:hyperlink>
    </w:p>
    <w:sectPr w:rsidR="00EA6484" w:rsidSect="00034616">
      <w:headerReference w:type="default" r:id="rId57"/>
      <w:footerReference w:type="defaul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31635" w14:textId="77777777" w:rsidR="00CD56B3" w:rsidRDefault="00CD56B3">
      <w:pPr>
        <w:spacing w:after="0" w:line="240" w:lineRule="auto"/>
      </w:pPr>
      <w:r>
        <w:separator/>
      </w:r>
    </w:p>
  </w:endnote>
  <w:endnote w:type="continuationSeparator" w:id="0">
    <w:p w14:paraId="31BA96F3" w14:textId="77777777" w:rsidR="00CD56B3" w:rsidRDefault="00CD5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6472E" w14:textId="77777777" w:rsidR="00EA6484" w:rsidRDefault="003C2FB9">
    <w:pPr>
      <w:pStyle w:val="Footer"/>
      <w:jc w:val="center"/>
    </w:pPr>
    <w:r>
      <w:rPr>
        <w:sz w:val="18"/>
      </w:rPr>
      <w:t xml:space="preserve">Page </w:t>
    </w:r>
    <w:r>
      <w:fldChar w:fldCharType="begin"/>
    </w:r>
    <w:r>
      <w:instrText>PAGE</w:instrText>
    </w:r>
    <w:r>
      <w:fldChar w:fldCharType="separate"/>
    </w:r>
    <w:r w:rsidR="00EE0CF2">
      <w:rPr>
        <w:noProof/>
      </w:rPr>
      <w:t>1</w:t>
    </w:r>
    <w:r>
      <w:fldChar w:fldCharType="end"/>
    </w:r>
    <w:r>
      <w:rPr>
        <w:sz w:val="18"/>
      </w:rPr>
      <w:t xml:space="preserve"> of </w:t>
    </w:r>
    <w:r>
      <w:fldChar w:fldCharType="begin"/>
    </w:r>
    <w:r>
      <w:instrText>NUMPAGES</w:instrText>
    </w:r>
    <w:r>
      <w:fldChar w:fldCharType="separate"/>
    </w:r>
    <w:r w:rsidR="00EE0CF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7306C" w14:textId="77777777" w:rsidR="00CD56B3" w:rsidRDefault="00CD56B3">
      <w:pPr>
        <w:spacing w:after="0" w:line="240" w:lineRule="auto"/>
      </w:pPr>
      <w:r>
        <w:separator/>
      </w:r>
    </w:p>
  </w:footnote>
  <w:footnote w:type="continuationSeparator" w:id="0">
    <w:p w14:paraId="1A7B30A6" w14:textId="77777777" w:rsidR="00CD56B3" w:rsidRDefault="00CD5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14398" w14:textId="77777777" w:rsidR="00EA6484" w:rsidRDefault="003C2FB9">
    <w:pPr>
      <w:pStyle w:val="Header"/>
    </w:pPr>
    <w:r>
      <w:rPr>
        <w:sz w:val="18"/>
      </w:rPr>
      <w:t>Feinberg School of Medicine • CME Planning Guidelines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1C607FA"/>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84403C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A031F9"/>
    <w:multiLevelType w:val="multilevel"/>
    <w:tmpl w:val="C6B258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1DE407D"/>
    <w:multiLevelType w:val="hybridMultilevel"/>
    <w:tmpl w:val="6FF47AB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22D2C8F"/>
    <w:multiLevelType w:val="multilevel"/>
    <w:tmpl w:val="AF189AF4"/>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2" w15:restartNumberingAfterBreak="0">
    <w:nsid w:val="03674450"/>
    <w:multiLevelType w:val="multilevel"/>
    <w:tmpl w:val="D298B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3EB0692"/>
    <w:multiLevelType w:val="multilevel"/>
    <w:tmpl w:val="8D80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4B00F16"/>
    <w:multiLevelType w:val="multilevel"/>
    <w:tmpl w:val="C512BB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 w15:restartNumberingAfterBreak="0">
    <w:nsid w:val="04F023A1"/>
    <w:multiLevelType w:val="multilevel"/>
    <w:tmpl w:val="0F160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5705835"/>
    <w:multiLevelType w:val="multilevel"/>
    <w:tmpl w:val="65D61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6785533"/>
    <w:multiLevelType w:val="multilevel"/>
    <w:tmpl w:val="A190A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7311847"/>
    <w:multiLevelType w:val="multilevel"/>
    <w:tmpl w:val="0C30E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7CF4DAD"/>
    <w:multiLevelType w:val="multilevel"/>
    <w:tmpl w:val="7786F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87A6878"/>
    <w:multiLevelType w:val="multilevel"/>
    <w:tmpl w:val="075CD7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8EE3AE9"/>
    <w:multiLevelType w:val="multilevel"/>
    <w:tmpl w:val="99A866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090F2E02"/>
    <w:multiLevelType w:val="multilevel"/>
    <w:tmpl w:val="9A3437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09AE15BA"/>
    <w:multiLevelType w:val="hybridMultilevel"/>
    <w:tmpl w:val="6BD677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0A5B7D81"/>
    <w:multiLevelType w:val="multilevel"/>
    <w:tmpl w:val="0C92B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CCD4239"/>
    <w:multiLevelType w:val="multilevel"/>
    <w:tmpl w:val="88C2FD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0D617C43"/>
    <w:multiLevelType w:val="multilevel"/>
    <w:tmpl w:val="D1F2C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D787307"/>
    <w:multiLevelType w:val="multilevel"/>
    <w:tmpl w:val="30AC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DA47B72"/>
    <w:multiLevelType w:val="multilevel"/>
    <w:tmpl w:val="539C21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9" w15:restartNumberingAfterBreak="0">
    <w:nsid w:val="0DC14F14"/>
    <w:multiLevelType w:val="multilevel"/>
    <w:tmpl w:val="FC5860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0ED82770"/>
    <w:multiLevelType w:val="multilevel"/>
    <w:tmpl w:val="7DE42D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0F3B0D01"/>
    <w:multiLevelType w:val="multilevel"/>
    <w:tmpl w:val="2D9881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159370E"/>
    <w:multiLevelType w:val="multilevel"/>
    <w:tmpl w:val="947E4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1E93918"/>
    <w:multiLevelType w:val="multilevel"/>
    <w:tmpl w:val="0E38E5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12102759"/>
    <w:multiLevelType w:val="multilevel"/>
    <w:tmpl w:val="6EB23D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12503BE1"/>
    <w:multiLevelType w:val="multilevel"/>
    <w:tmpl w:val="BCBE3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33A44A1"/>
    <w:multiLevelType w:val="multilevel"/>
    <w:tmpl w:val="09F2C7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33E68F8"/>
    <w:multiLevelType w:val="multilevel"/>
    <w:tmpl w:val="990CD1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4041BD2"/>
    <w:multiLevelType w:val="multilevel"/>
    <w:tmpl w:val="0D80573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14378AA6"/>
    <w:multiLevelType w:val="hybridMultilevel"/>
    <w:tmpl w:val="ED2EA6FA"/>
    <w:lvl w:ilvl="0" w:tplc="3C1C5A9C">
      <w:start w:val="1"/>
      <w:numFmt w:val="bullet"/>
      <w:lvlText w:val=""/>
      <w:lvlJc w:val="left"/>
      <w:pPr>
        <w:ind w:left="360" w:hanging="360"/>
      </w:pPr>
      <w:rPr>
        <w:rFonts w:ascii="Wingdings" w:hAnsi="Wingdings" w:hint="default"/>
      </w:rPr>
    </w:lvl>
    <w:lvl w:ilvl="1" w:tplc="85CC71E4">
      <w:start w:val="1"/>
      <w:numFmt w:val="bullet"/>
      <w:lvlText w:val="o"/>
      <w:lvlJc w:val="left"/>
      <w:pPr>
        <w:ind w:left="1080" w:hanging="360"/>
      </w:pPr>
      <w:rPr>
        <w:rFonts w:ascii="Courier New" w:hAnsi="Courier New" w:hint="default"/>
      </w:rPr>
    </w:lvl>
    <w:lvl w:ilvl="2" w:tplc="D6E83364">
      <w:start w:val="1"/>
      <w:numFmt w:val="bullet"/>
      <w:lvlText w:val=""/>
      <w:lvlJc w:val="left"/>
      <w:pPr>
        <w:ind w:left="1800" w:hanging="360"/>
      </w:pPr>
      <w:rPr>
        <w:rFonts w:ascii="Wingdings" w:hAnsi="Wingdings" w:hint="default"/>
      </w:rPr>
    </w:lvl>
    <w:lvl w:ilvl="3" w:tplc="FE36EB80">
      <w:start w:val="1"/>
      <w:numFmt w:val="bullet"/>
      <w:lvlText w:val=""/>
      <w:lvlJc w:val="left"/>
      <w:pPr>
        <w:ind w:left="2520" w:hanging="360"/>
      </w:pPr>
      <w:rPr>
        <w:rFonts w:ascii="Symbol" w:hAnsi="Symbol" w:hint="default"/>
      </w:rPr>
    </w:lvl>
    <w:lvl w:ilvl="4" w:tplc="0E6EDCE8">
      <w:start w:val="1"/>
      <w:numFmt w:val="bullet"/>
      <w:lvlText w:val="o"/>
      <w:lvlJc w:val="left"/>
      <w:pPr>
        <w:ind w:left="3240" w:hanging="360"/>
      </w:pPr>
      <w:rPr>
        <w:rFonts w:ascii="Courier New" w:hAnsi="Courier New" w:hint="default"/>
      </w:rPr>
    </w:lvl>
    <w:lvl w:ilvl="5" w:tplc="37C86924">
      <w:start w:val="1"/>
      <w:numFmt w:val="bullet"/>
      <w:lvlText w:val=""/>
      <w:lvlJc w:val="left"/>
      <w:pPr>
        <w:ind w:left="3960" w:hanging="360"/>
      </w:pPr>
      <w:rPr>
        <w:rFonts w:ascii="Wingdings" w:hAnsi="Wingdings" w:hint="default"/>
      </w:rPr>
    </w:lvl>
    <w:lvl w:ilvl="6" w:tplc="F36029B6">
      <w:start w:val="1"/>
      <w:numFmt w:val="bullet"/>
      <w:lvlText w:val=""/>
      <w:lvlJc w:val="left"/>
      <w:pPr>
        <w:ind w:left="4680" w:hanging="360"/>
      </w:pPr>
      <w:rPr>
        <w:rFonts w:ascii="Symbol" w:hAnsi="Symbol" w:hint="default"/>
      </w:rPr>
    </w:lvl>
    <w:lvl w:ilvl="7" w:tplc="91B082A2">
      <w:start w:val="1"/>
      <w:numFmt w:val="bullet"/>
      <w:lvlText w:val="o"/>
      <w:lvlJc w:val="left"/>
      <w:pPr>
        <w:ind w:left="5400" w:hanging="360"/>
      </w:pPr>
      <w:rPr>
        <w:rFonts w:ascii="Courier New" w:hAnsi="Courier New" w:hint="default"/>
      </w:rPr>
    </w:lvl>
    <w:lvl w:ilvl="8" w:tplc="F8B6267C">
      <w:start w:val="1"/>
      <w:numFmt w:val="bullet"/>
      <w:lvlText w:val=""/>
      <w:lvlJc w:val="left"/>
      <w:pPr>
        <w:ind w:left="6120" w:hanging="360"/>
      </w:pPr>
      <w:rPr>
        <w:rFonts w:ascii="Wingdings" w:hAnsi="Wingdings" w:hint="default"/>
      </w:rPr>
    </w:lvl>
  </w:abstractNum>
  <w:abstractNum w:abstractNumId="40" w15:restartNumberingAfterBreak="0">
    <w:nsid w:val="144F6053"/>
    <w:multiLevelType w:val="multilevel"/>
    <w:tmpl w:val="1F6009E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14A7764F"/>
    <w:multiLevelType w:val="multilevel"/>
    <w:tmpl w:val="29BEAD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52600DF"/>
    <w:multiLevelType w:val="multilevel"/>
    <w:tmpl w:val="4A425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62405C0"/>
    <w:multiLevelType w:val="multilevel"/>
    <w:tmpl w:val="8852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8B870EB"/>
    <w:multiLevelType w:val="multilevel"/>
    <w:tmpl w:val="6EB0CD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A167801"/>
    <w:multiLevelType w:val="multilevel"/>
    <w:tmpl w:val="062629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1AA30A16"/>
    <w:multiLevelType w:val="multilevel"/>
    <w:tmpl w:val="33081D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AA57322"/>
    <w:multiLevelType w:val="multilevel"/>
    <w:tmpl w:val="6148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CAB0C67"/>
    <w:multiLevelType w:val="multilevel"/>
    <w:tmpl w:val="ED207E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E1D00CD"/>
    <w:multiLevelType w:val="hybridMultilevel"/>
    <w:tmpl w:val="93ACB12C"/>
    <w:lvl w:ilvl="0" w:tplc="FFFFFFFF">
      <w:start w:val="1"/>
      <w:numFmt w:val="bullet"/>
      <w:lvlText w:val="o"/>
      <w:lvlJc w:val="left"/>
      <w:pPr>
        <w:ind w:left="1440" w:hanging="360"/>
      </w:pPr>
      <w:rPr>
        <w:rFonts w:ascii="Courier New" w:hAnsi="Courier New" w:cs="Courier New" w:hint="default"/>
      </w:rPr>
    </w:lvl>
    <w:lvl w:ilvl="1" w:tplc="04090001">
      <w:start w:val="1"/>
      <w:numFmt w:val="bullet"/>
      <w:lvlText w:val=""/>
      <w:lvlJc w:val="left"/>
      <w:pPr>
        <w:ind w:left="360" w:hanging="360"/>
      </w:pPr>
      <w:rPr>
        <w:rFonts w:ascii="Symbol" w:hAnsi="Symbol"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0" w15:restartNumberingAfterBreak="0">
    <w:nsid w:val="1E9B5B74"/>
    <w:multiLevelType w:val="multilevel"/>
    <w:tmpl w:val="843EB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1FFA0057"/>
    <w:multiLevelType w:val="multilevel"/>
    <w:tmpl w:val="919ED28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203F53CA"/>
    <w:multiLevelType w:val="multilevel"/>
    <w:tmpl w:val="7570E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09246B9"/>
    <w:multiLevelType w:val="multilevel"/>
    <w:tmpl w:val="BA6A01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20E7015A"/>
    <w:multiLevelType w:val="hybridMultilevel"/>
    <w:tmpl w:val="F1BA261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21811BF7"/>
    <w:multiLevelType w:val="multilevel"/>
    <w:tmpl w:val="071288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22846D9E"/>
    <w:multiLevelType w:val="multilevel"/>
    <w:tmpl w:val="2A7ACF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5403DCF"/>
    <w:multiLevelType w:val="multilevel"/>
    <w:tmpl w:val="D67CDD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59339B0"/>
    <w:multiLevelType w:val="multilevel"/>
    <w:tmpl w:val="A6B8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5F61822"/>
    <w:multiLevelType w:val="multilevel"/>
    <w:tmpl w:val="014AE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658456B"/>
    <w:multiLevelType w:val="multilevel"/>
    <w:tmpl w:val="ACBC4D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6B9507F"/>
    <w:multiLevelType w:val="multilevel"/>
    <w:tmpl w:val="CF28D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798292E"/>
    <w:multiLevelType w:val="multilevel"/>
    <w:tmpl w:val="1688A0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82B231D"/>
    <w:multiLevelType w:val="multilevel"/>
    <w:tmpl w:val="6C02FF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293C14AB"/>
    <w:multiLevelType w:val="multilevel"/>
    <w:tmpl w:val="2DDE09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9A9617F"/>
    <w:multiLevelType w:val="multilevel"/>
    <w:tmpl w:val="2B3AA7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2B0B7695"/>
    <w:multiLevelType w:val="multilevel"/>
    <w:tmpl w:val="228A70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CC53580"/>
    <w:multiLevelType w:val="multilevel"/>
    <w:tmpl w:val="6A420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CE5098B"/>
    <w:multiLevelType w:val="multilevel"/>
    <w:tmpl w:val="B5A87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2DFC5706"/>
    <w:multiLevelType w:val="multilevel"/>
    <w:tmpl w:val="B16C2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2E082A7F"/>
    <w:multiLevelType w:val="multilevel"/>
    <w:tmpl w:val="10469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E40058F"/>
    <w:multiLevelType w:val="multilevel"/>
    <w:tmpl w:val="BE9AB822"/>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2" w15:restartNumberingAfterBreak="0">
    <w:nsid w:val="2E5B13FD"/>
    <w:multiLevelType w:val="multilevel"/>
    <w:tmpl w:val="1278DE0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EB80151"/>
    <w:multiLevelType w:val="multilevel"/>
    <w:tmpl w:val="5622E9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EBC0C1B"/>
    <w:multiLevelType w:val="multilevel"/>
    <w:tmpl w:val="44E68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00330A5"/>
    <w:multiLevelType w:val="multilevel"/>
    <w:tmpl w:val="EE606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19316FE"/>
    <w:multiLevelType w:val="multilevel"/>
    <w:tmpl w:val="982A22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31FF40E9"/>
    <w:multiLevelType w:val="multilevel"/>
    <w:tmpl w:val="CF8A6E4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2B2188F"/>
    <w:multiLevelType w:val="multilevel"/>
    <w:tmpl w:val="DC264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2EF3B00"/>
    <w:multiLevelType w:val="hybridMultilevel"/>
    <w:tmpl w:val="1316AC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33976BE7"/>
    <w:multiLevelType w:val="multilevel"/>
    <w:tmpl w:val="A4C6C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40F5B2B"/>
    <w:multiLevelType w:val="multilevel"/>
    <w:tmpl w:val="87CAF78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4817CBF"/>
    <w:multiLevelType w:val="hybridMultilevel"/>
    <w:tmpl w:val="3A8448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34CF32DE"/>
    <w:multiLevelType w:val="multilevel"/>
    <w:tmpl w:val="488CB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35AC45AD"/>
    <w:multiLevelType w:val="multilevel"/>
    <w:tmpl w:val="97D06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669287D"/>
    <w:multiLevelType w:val="hybridMultilevel"/>
    <w:tmpl w:val="916C644A"/>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6" w15:restartNumberingAfterBreak="0">
    <w:nsid w:val="3767396B"/>
    <w:multiLevelType w:val="multilevel"/>
    <w:tmpl w:val="1D04A0A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37E03877"/>
    <w:multiLevelType w:val="multilevel"/>
    <w:tmpl w:val="B4640A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8" w15:restartNumberingAfterBreak="0">
    <w:nsid w:val="3812379C"/>
    <w:multiLevelType w:val="multilevel"/>
    <w:tmpl w:val="34DC41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9" w15:restartNumberingAfterBreak="0">
    <w:nsid w:val="38321A87"/>
    <w:multiLevelType w:val="multilevel"/>
    <w:tmpl w:val="BE160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396528FD"/>
    <w:multiLevelType w:val="multilevel"/>
    <w:tmpl w:val="42CE2F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1" w15:restartNumberingAfterBreak="0">
    <w:nsid w:val="3A145111"/>
    <w:multiLevelType w:val="multilevel"/>
    <w:tmpl w:val="8084AB8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2" w15:restartNumberingAfterBreak="0">
    <w:nsid w:val="3B2C4CEC"/>
    <w:multiLevelType w:val="multilevel"/>
    <w:tmpl w:val="619ADF4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3B4326FC"/>
    <w:multiLevelType w:val="multilevel"/>
    <w:tmpl w:val="B914BE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B8B7E88"/>
    <w:multiLevelType w:val="multilevel"/>
    <w:tmpl w:val="144059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C747FDC"/>
    <w:multiLevelType w:val="multilevel"/>
    <w:tmpl w:val="D4E01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3ED8173C"/>
    <w:multiLevelType w:val="hybridMultilevel"/>
    <w:tmpl w:val="1FB265D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7" w15:restartNumberingAfterBreak="0">
    <w:nsid w:val="3FD9281F"/>
    <w:multiLevelType w:val="multilevel"/>
    <w:tmpl w:val="AD4E237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401068BA"/>
    <w:multiLevelType w:val="multilevel"/>
    <w:tmpl w:val="05B2D59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9" w15:restartNumberingAfterBreak="0">
    <w:nsid w:val="42D65AC9"/>
    <w:multiLevelType w:val="multilevel"/>
    <w:tmpl w:val="4EEE92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0" w15:restartNumberingAfterBreak="0">
    <w:nsid w:val="4304393E"/>
    <w:multiLevelType w:val="hybridMultilevel"/>
    <w:tmpl w:val="306291AE"/>
    <w:lvl w:ilvl="0" w:tplc="FFFFFFFF">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1" w15:restartNumberingAfterBreak="0">
    <w:nsid w:val="432224A4"/>
    <w:multiLevelType w:val="multilevel"/>
    <w:tmpl w:val="A3A80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39E4C5C"/>
    <w:multiLevelType w:val="multilevel"/>
    <w:tmpl w:val="699A9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415097D"/>
    <w:multiLevelType w:val="hybridMultilevel"/>
    <w:tmpl w:val="FB021D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45521B70"/>
    <w:multiLevelType w:val="multilevel"/>
    <w:tmpl w:val="A6D47D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5872147"/>
    <w:multiLevelType w:val="multilevel"/>
    <w:tmpl w:val="AE322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5A62A8D"/>
    <w:multiLevelType w:val="multilevel"/>
    <w:tmpl w:val="62689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45AC1609"/>
    <w:multiLevelType w:val="multilevel"/>
    <w:tmpl w:val="1FBC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463F24E6"/>
    <w:multiLevelType w:val="hybridMultilevel"/>
    <w:tmpl w:val="FFE69D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46BD0B11"/>
    <w:multiLevelType w:val="multilevel"/>
    <w:tmpl w:val="5CD6D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481D48A4"/>
    <w:multiLevelType w:val="multilevel"/>
    <w:tmpl w:val="E9645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4A66687E"/>
    <w:multiLevelType w:val="multilevel"/>
    <w:tmpl w:val="BDB4305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2" w15:restartNumberingAfterBreak="0">
    <w:nsid w:val="4AA42E11"/>
    <w:multiLevelType w:val="multilevel"/>
    <w:tmpl w:val="14788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4BD73541"/>
    <w:multiLevelType w:val="multilevel"/>
    <w:tmpl w:val="8656F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4BFC47D2"/>
    <w:multiLevelType w:val="multilevel"/>
    <w:tmpl w:val="FDB8FD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4E4B4940"/>
    <w:multiLevelType w:val="multilevel"/>
    <w:tmpl w:val="D100A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4EF26678"/>
    <w:multiLevelType w:val="hybridMultilevel"/>
    <w:tmpl w:val="BD7004B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7" w15:restartNumberingAfterBreak="0">
    <w:nsid w:val="4F037F0C"/>
    <w:multiLevelType w:val="multilevel"/>
    <w:tmpl w:val="9E583A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FB17D9E"/>
    <w:multiLevelType w:val="multilevel"/>
    <w:tmpl w:val="D7AEB67C"/>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19" w15:restartNumberingAfterBreak="0">
    <w:nsid w:val="50076773"/>
    <w:multiLevelType w:val="multilevel"/>
    <w:tmpl w:val="F962C7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0" w15:restartNumberingAfterBreak="0">
    <w:nsid w:val="50A92943"/>
    <w:multiLevelType w:val="multilevel"/>
    <w:tmpl w:val="4F3659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1700207"/>
    <w:multiLevelType w:val="hybridMultilevel"/>
    <w:tmpl w:val="D1D45E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2666595"/>
    <w:multiLevelType w:val="multilevel"/>
    <w:tmpl w:val="92F6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52AF4F14"/>
    <w:multiLevelType w:val="multilevel"/>
    <w:tmpl w:val="D64499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4" w15:restartNumberingAfterBreak="0">
    <w:nsid w:val="5335B3EB"/>
    <w:multiLevelType w:val="hybridMultilevel"/>
    <w:tmpl w:val="FFFFFFFF"/>
    <w:lvl w:ilvl="0" w:tplc="0C0EB1A0">
      <w:start w:val="1"/>
      <w:numFmt w:val="bullet"/>
      <w:lvlText w:val="·"/>
      <w:lvlJc w:val="left"/>
      <w:pPr>
        <w:ind w:left="360" w:hanging="360"/>
      </w:pPr>
      <w:rPr>
        <w:rFonts w:ascii="Symbol" w:hAnsi="Symbol" w:hint="default"/>
      </w:rPr>
    </w:lvl>
    <w:lvl w:ilvl="1" w:tplc="CBD679DC">
      <w:start w:val="1"/>
      <w:numFmt w:val="bullet"/>
      <w:lvlText w:val="o"/>
      <w:lvlJc w:val="left"/>
      <w:pPr>
        <w:ind w:left="1080" w:hanging="360"/>
      </w:pPr>
      <w:rPr>
        <w:rFonts w:ascii="Symbol" w:hAnsi="Symbol" w:hint="default"/>
      </w:rPr>
    </w:lvl>
    <w:lvl w:ilvl="2" w:tplc="74626DC8">
      <w:start w:val="1"/>
      <w:numFmt w:val="bullet"/>
      <w:lvlText w:val="§"/>
      <w:lvlJc w:val="left"/>
      <w:pPr>
        <w:ind w:left="1800" w:hanging="360"/>
      </w:pPr>
      <w:rPr>
        <w:rFonts w:ascii="Symbol" w:hAnsi="Symbol" w:hint="default"/>
      </w:rPr>
    </w:lvl>
    <w:lvl w:ilvl="3" w:tplc="F57EAF28">
      <w:start w:val="1"/>
      <w:numFmt w:val="bullet"/>
      <w:lvlText w:val="·"/>
      <w:lvlJc w:val="left"/>
      <w:pPr>
        <w:ind w:left="2520" w:hanging="360"/>
      </w:pPr>
      <w:rPr>
        <w:rFonts w:ascii="Symbol" w:hAnsi="Symbol" w:hint="default"/>
      </w:rPr>
    </w:lvl>
    <w:lvl w:ilvl="4" w:tplc="019AB580">
      <w:start w:val="1"/>
      <w:numFmt w:val="bullet"/>
      <w:lvlText w:val="o"/>
      <w:lvlJc w:val="left"/>
      <w:pPr>
        <w:ind w:left="3240" w:hanging="360"/>
      </w:pPr>
      <w:rPr>
        <w:rFonts w:ascii="Symbol" w:hAnsi="Symbol" w:hint="default"/>
      </w:rPr>
    </w:lvl>
    <w:lvl w:ilvl="5" w:tplc="91304C42">
      <w:start w:val="1"/>
      <w:numFmt w:val="bullet"/>
      <w:lvlText w:val=""/>
      <w:lvlJc w:val="left"/>
      <w:pPr>
        <w:ind w:left="3960" w:hanging="360"/>
      </w:pPr>
      <w:rPr>
        <w:rFonts w:ascii="Wingdings" w:hAnsi="Wingdings" w:hint="default"/>
      </w:rPr>
    </w:lvl>
    <w:lvl w:ilvl="6" w:tplc="DA56AB20">
      <w:start w:val="1"/>
      <w:numFmt w:val="bullet"/>
      <w:lvlText w:val=""/>
      <w:lvlJc w:val="left"/>
      <w:pPr>
        <w:ind w:left="4680" w:hanging="360"/>
      </w:pPr>
      <w:rPr>
        <w:rFonts w:ascii="Symbol" w:hAnsi="Symbol" w:hint="default"/>
      </w:rPr>
    </w:lvl>
    <w:lvl w:ilvl="7" w:tplc="6C9648F6">
      <w:start w:val="1"/>
      <w:numFmt w:val="bullet"/>
      <w:lvlText w:val="o"/>
      <w:lvlJc w:val="left"/>
      <w:pPr>
        <w:ind w:left="5400" w:hanging="360"/>
      </w:pPr>
      <w:rPr>
        <w:rFonts w:ascii="Courier New" w:hAnsi="Courier New" w:hint="default"/>
      </w:rPr>
    </w:lvl>
    <w:lvl w:ilvl="8" w:tplc="6B10D8DA">
      <w:start w:val="1"/>
      <w:numFmt w:val="bullet"/>
      <w:lvlText w:val=""/>
      <w:lvlJc w:val="left"/>
      <w:pPr>
        <w:ind w:left="6120" w:hanging="360"/>
      </w:pPr>
      <w:rPr>
        <w:rFonts w:ascii="Wingdings" w:hAnsi="Wingdings" w:hint="default"/>
      </w:rPr>
    </w:lvl>
  </w:abstractNum>
  <w:abstractNum w:abstractNumId="125" w15:restartNumberingAfterBreak="0">
    <w:nsid w:val="534E1DF6"/>
    <w:multiLevelType w:val="multilevel"/>
    <w:tmpl w:val="5EFC8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542732E6"/>
    <w:multiLevelType w:val="multilevel"/>
    <w:tmpl w:val="DA9072A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7" w15:restartNumberingAfterBreak="0">
    <w:nsid w:val="54CD165B"/>
    <w:multiLevelType w:val="multilevel"/>
    <w:tmpl w:val="92DEE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56BF159F"/>
    <w:multiLevelType w:val="multilevel"/>
    <w:tmpl w:val="41BE80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6F9482B"/>
    <w:multiLevelType w:val="multilevel"/>
    <w:tmpl w:val="B66CC0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733763F"/>
    <w:multiLevelType w:val="multilevel"/>
    <w:tmpl w:val="3F840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5746736B"/>
    <w:multiLevelType w:val="multilevel"/>
    <w:tmpl w:val="60F64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57D8305B"/>
    <w:multiLevelType w:val="multilevel"/>
    <w:tmpl w:val="84505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57E42160"/>
    <w:multiLevelType w:val="multilevel"/>
    <w:tmpl w:val="4D1A30A8"/>
    <w:lvl w:ilvl="0">
      <w:start w:val="1"/>
      <w:numFmt w:val="bullet"/>
      <w:lvlText w:val="o"/>
      <w:lvlJc w:val="left"/>
      <w:pPr>
        <w:tabs>
          <w:tab w:val="num" w:pos="1440"/>
        </w:tabs>
        <w:ind w:left="1440" w:hanging="360"/>
      </w:pPr>
      <w:rPr>
        <w:rFonts w:ascii="Courier New" w:hAnsi="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o"/>
      <w:lvlJc w:val="left"/>
      <w:pPr>
        <w:tabs>
          <w:tab w:val="num" w:pos="2880"/>
        </w:tabs>
        <w:ind w:left="2880" w:hanging="360"/>
      </w:pPr>
      <w:rPr>
        <w:rFonts w:ascii="Courier New" w:hAnsi="Courier New" w:hint="default"/>
        <w:sz w:val="20"/>
      </w:rPr>
    </w:lvl>
    <w:lvl w:ilvl="3" w:tentative="1">
      <w:start w:val="1"/>
      <w:numFmt w:val="bullet"/>
      <w:lvlText w:val="o"/>
      <w:lvlJc w:val="left"/>
      <w:pPr>
        <w:tabs>
          <w:tab w:val="num" w:pos="3600"/>
        </w:tabs>
        <w:ind w:left="3600" w:hanging="360"/>
      </w:pPr>
      <w:rPr>
        <w:rFonts w:ascii="Courier New" w:hAnsi="Courier New" w:hint="default"/>
        <w:sz w:val="20"/>
      </w:rPr>
    </w:lvl>
    <w:lvl w:ilvl="4" w:tentative="1">
      <w:start w:val="1"/>
      <w:numFmt w:val="bullet"/>
      <w:lvlText w:val="o"/>
      <w:lvlJc w:val="left"/>
      <w:pPr>
        <w:tabs>
          <w:tab w:val="num" w:pos="4320"/>
        </w:tabs>
        <w:ind w:left="4320" w:hanging="360"/>
      </w:pPr>
      <w:rPr>
        <w:rFonts w:ascii="Courier New" w:hAnsi="Courier New" w:hint="default"/>
        <w:sz w:val="20"/>
      </w:rPr>
    </w:lvl>
    <w:lvl w:ilvl="5" w:tentative="1">
      <w:start w:val="1"/>
      <w:numFmt w:val="bullet"/>
      <w:lvlText w:val="o"/>
      <w:lvlJc w:val="left"/>
      <w:pPr>
        <w:tabs>
          <w:tab w:val="num" w:pos="5040"/>
        </w:tabs>
        <w:ind w:left="5040" w:hanging="360"/>
      </w:pPr>
      <w:rPr>
        <w:rFonts w:ascii="Courier New" w:hAnsi="Courier New" w:hint="default"/>
        <w:sz w:val="20"/>
      </w:rPr>
    </w:lvl>
    <w:lvl w:ilvl="6" w:tentative="1">
      <w:start w:val="1"/>
      <w:numFmt w:val="bullet"/>
      <w:lvlText w:val="o"/>
      <w:lvlJc w:val="left"/>
      <w:pPr>
        <w:tabs>
          <w:tab w:val="num" w:pos="5760"/>
        </w:tabs>
        <w:ind w:left="5760" w:hanging="360"/>
      </w:pPr>
      <w:rPr>
        <w:rFonts w:ascii="Courier New" w:hAnsi="Courier New" w:hint="default"/>
        <w:sz w:val="20"/>
      </w:rPr>
    </w:lvl>
    <w:lvl w:ilvl="7" w:tentative="1">
      <w:start w:val="1"/>
      <w:numFmt w:val="bullet"/>
      <w:lvlText w:val="o"/>
      <w:lvlJc w:val="left"/>
      <w:pPr>
        <w:tabs>
          <w:tab w:val="num" w:pos="6480"/>
        </w:tabs>
        <w:ind w:left="6480" w:hanging="360"/>
      </w:pPr>
      <w:rPr>
        <w:rFonts w:ascii="Courier New" w:hAnsi="Courier New" w:hint="default"/>
        <w:sz w:val="20"/>
      </w:rPr>
    </w:lvl>
    <w:lvl w:ilvl="8" w:tentative="1">
      <w:start w:val="1"/>
      <w:numFmt w:val="bullet"/>
      <w:lvlText w:val="o"/>
      <w:lvlJc w:val="left"/>
      <w:pPr>
        <w:tabs>
          <w:tab w:val="num" w:pos="7200"/>
        </w:tabs>
        <w:ind w:left="7200" w:hanging="360"/>
      </w:pPr>
      <w:rPr>
        <w:rFonts w:ascii="Courier New" w:hAnsi="Courier New" w:hint="default"/>
        <w:sz w:val="20"/>
      </w:rPr>
    </w:lvl>
  </w:abstractNum>
  <w:abstractNum w:abstractNumId="134" w15:restartNumberingAfterBreak="0">
    <w:nsid w:val="57FA4F8A"/>
    <w:multiLevelType w:val="multilevel"/>
    <w:tmpl w:val="315A92C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5" w15:restartNumberingAfterBreak="0">
    <w:nsid w:val="5946116A"/>
    <w:multiLevelType w:val="multilevel"/>
    <w:tmpl w:val="83FAA4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A524E0C"/>
    <w:multiLevelType w:val="multilevel"/>
    <w:tmpl w:val="E256967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7" w15:restartNumberingAfterBreak="0">
    <w:nsid w:val="5B627619"/>
    <w:multiLevelType w:val="multilevel"/>
    <w:tmpl w:val="E48EDB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8" w15:restartNumberingAfterBreak="0">
    <w:nsid w:val="5C8061DE"/>
    <w:multiLevelType w:val="hybridMultilevel"/>
    <w:tmpl w:val="B17C647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9" w15:restartNumberingAfterBreak="0">
    <w:nsid w:val="5D316424"/>
    <w:multiLevelType w:val="multilevel"/>
    <w:tmpl w:val="1F78A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5E1C2759"/>
    <w:multiLevelType w:val="multilevel"/>
    <w:tmpl w:val="98FA3C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E5D7096"/>
    <w:multiLevelType w:val="multilevel"/>
    <w:tmpl w:val="F33006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60933A94"/>
    <w:multiLevelType w:val="multilevel"/>
    <w:tmpl w:val="1928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61513DC1"/>
    <w:multiLevelType w:val="multilevel"/>
    <w:tmpl w:val="870693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4" w15:restartNumberingAfterBreak="0">
    <w:nsid w:val="6262046B"/>
    <w:multiLevelType w:val="multilevel"/>
    <w:tmpl w:val="618007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5" w15:restartNumberingAfterBreak="0">
    <w:nsid w:val="639F0534"/>
    <w:multiLevelType w:val="multilevel"/>
    <w:tmpl w:val="A01269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3AC7BD8"/>
    <w:multiLevelType w:val="multilevel"/>
    <w:tmpl w:val="D138D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649C0660"/>
    <w:multiLevelType w:val="multilevel"/>
    <w:tmpl w:val="8CEA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64A72553"/>
    <w:multiLevelType w:val="multilevel"/>
    <w:tmpl w:val="163A30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6714961"/>
    <w:multiLevelType w:val="multilevel"/>
    <w:tmpl w:val="A90E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66A63DA9"/>
    <w:multiLevelType w:val="multilevel"/>
    <w:tmpl w:val="86F6F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68525762"/>
    <w:multiLevelType w:val="multilevel"/>
    <w:tmpl w:val="3B3CB8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8B3788C"/>
    <w:multiLevelType w:val="multilevel"/>
    <w:tmpl w:val="E8B6136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3" w15:restartNumberingAfterBreak="0">
    <w:nsid w:val="69314B1D"/>
    <w:multiLevelType w:val="multilevel"/>
    <w:tmpl w:val="C338D22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693F6279"/>
    <w:multiLevelType w:val="hybridMultilevel"/>
    <w:tmpl w:val="1092F48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5" w15:restartNumberingAfterBreak="0">
    <w:nsid w:val="6B944A93"/>
    <w:multiLevelType w:val="multilevel"/>
    <w:tmpl w:val="73286A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6BDE7E83"/>
    <w:multiLevelType w:val="multilevel"/>
    <w:tmpl w:val="8A8493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BE74F82"/>
    <w:multiLevelType w:val="multilevel"/>
    <w:tmpl w:val="620AAC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58" w15:restartNumberingAfterBreak="0">
    <w:nsid w:val="6DD13C67"/>
    <w:multiLevelType w:val="multilevel"/>
    <w:tmpl w:val="F0D6EE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9" w15:restartNumberingAfterBreak="0">
    <w:nsid w:val="6F54F590"/>
    <w:multiLevelType w:val="hybridMultilevel"/>
    <w:tmpl w:val="FFFFFFFF"/>
    <w:lvl w:ilvl="0" w:tplc="2EA2563E">
      <w:start w:val="1"/>
      <w:numFmt w:val="bullet"/>
      <w:lvlText w:val="·"/>
      <w:lvlJc w:val="left"/>
      <w:pPr>
        <w:ind w:left="720" w:hanging="360"/>
      </w:pPr>
      <w:rPr>
        <w:rFonts w:ascii="Symbol" w:hAnsi="Symbol" w:hint="default"/>
      </w:rPr>
    </w:lvl>
    <w:lvl w:ilvl="1" w:tplc="1400A02E">
      <w:start w:val="1"/>
      <w:numFmt w:val="bullet"/>
      <w:lvlText w:val="o"/>
      <w:lvlJc w:val="left"/>
      <w:pPr>
        <w:ind w:left="1440" w:hanging="360"/>
      </w:pPr>
      <w:rPr>
        <w:rFonts w:ascii="Courier New" w:hAnsi="Courier New" w:hint="default"/>
      </w:rPr>
    </w:lvl>
    <w:lvl w:ilvl="2" w:tplc="A0CC1D56">
      <w:start w:val="1"/>
      <w:numFmt w:val="bullet"/>
      <w:lvlText w:val=""/>
      <w:lvlJc w:val="left"/>
      <w:pPr>
        <w:ind w:left="2160" w:hanging="360"/>
      </w:pPr>
      <w:rPr>
        <w:rFonts w:ascii="Wingdings" w:hAnsi="Wingdings" w:hint="default"/>
      </w:rPr>
    </w:lvl>
    <w:lvl w:ilvl="3" w:tplc="B76E796A">
      <w:start w:val="1"/>
      <w:numFmt w:val="bullet"/>
      <w:lvlText w:val=""/>
      <w:lvlJc w:val="left"/>
      <w:pPr>
        <w:ind w:left="2880" w:hanging="360"/>
      </w:pPr>
      <w:rPr>
        <w:rFonts w:ascii="Symbol" w:hAnsi="Symbol" w:hint="default"/>
      </w:rPr>
    </w:lvl>
    <w:lvl w:ilvl="4" w:tplc="686EB6DC">
      <w:start w:val="1"/>
      <w:numFmt w:val="bullet"/>
      <w:lvlText w:val="o"/>
      <w:lvlJc w:val="left"/>
      <w:pPr>
        <w:ind w:left="3600" w:hanging="360"/>
      </w:pPr>
      <w:rPr>
        <w:rFonts w:ascii="Courier New" w:hAnsi="Courier New" w:hint="default"/>
      </w:rPr>
    </w:lvl>
    <w:lvl w:ilvl="5" w:tplc="9C8AEEAA">
      <w:start w:val="1"/>
      <w:numFmt w:val="bullet"/>
      <w:lvlText w:val=""/>
      <w:lvlJc w:val="left"/>
      <w:pPr>
        <w:ind w:left="4320" w:hanging="360"/>
      </w:pPr>
      <w:rPr>
        <w:rFonts w:ascii="Wingdings" w:hAnsi="Wingdings" w:hint="default"/>
      </w:rPr>
    </w:lvl>
    <w:lvl w:ilvl="6" w:tplc="A2F665C6">
      <w:start w:val="1"/>
      <w:numFmt w:val="bullet"/>
      <w:lvlText w:val=""/>
      <w:lvlJc w:val="left"/>
      <w:pPr>
        <w:ind w:left="5040" w:hanging="360"/>
      </w:pPr>
      <w:rPr>
        <w:rFonts w:ascii="Symbol" w:hAnsi="Symbol" w:hint="default"/>
      </w:rPr>
    </w:lvl>
    <w:lvl w:ilvl="7" w:tplc="BCBE73C4">
      <w:start w:val="1"/>
      <w:numFmt w:val="bullet"/>
      <w:lvlText w:val="o"/>
      <w:lvlJc w:val="left"/>
      <w:pPr>
        <w:ind w:left="5760" w:hanging="360"/>
      </w:pPr>
      <w:rPr>
        <w:rFonts w:ascii="Courier New" w:hAnsi="Courier New" w:hint="default"/>
      </w:rPr>
    </w:lvl>
    <w:lvl w:ilvl="8" w:tplc="A4061DF8">
      <w:start w:val="1"/>
      <w:numFmt w:val="bullet"/>
      <w:lvlText w:val=""/>
      <w:lvlJc w:val="left"/>
      <w:pPr>
        <w:ind w:left="6480" w:hanging="360"/>
      </w:pPr>
      <w:rPr>
        <w:rFonts w:ascii="Wingdings" w:hAnsi="Wingdings" w:hint="default"/>
      </w:rPr>
    </w:lvl>
  </w:abstractNum>
  <w:abstractNum w:abstractNumId="160" w15:restartNumberingAfterBreak="0">
    <w:nsid w:val="6FA54F6D"/>
    <w:multiLevelType w:val="multilevel"/>
    <w:tmpl w:val="A0C2D6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1" w15:restartNumberingAfterBreak="0">
    <w:nsid w:val="6FD92D23"/>
    <w:multiLevelType w:val="multilevel"/>
    <w:tmpl w:val="C82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70B64A06"/>
    <w:multiLevelType w:val="multilevel"/>
    <w:tmpl w:val="04CA13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70BA6856"/>
    <w:multiLevelType w:val="multilevel"/>
    <w:tmpl w:val="FD9E44F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4" w15:restartNumberingAfterBreak="0">
    <w:nsid w:val="712C7AA0"/>
    <w:multiLevelType w:val="multilevel"/>
    <w:tmpl w:val="5F9AEB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5" w15:restartNumberingAfterBreak="0">
    <w:nsid w:val="73500B0B"/>
    <w:multiLevelType w:val="multilevel"/>
    <w:tmpl w:val="BDB0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74DE4854"/>
    <w:multiLevelType w:val="multilevel"/>
    <w:tmpl w:val="260CE4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53E1DBF"/>
    <w:multiLevelType w:val="multilevel"/>
    <w:tmpl w:val="DBF6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75C55DDB"/>
    <w:multiLevelType w:val="multilevel"/>
    <w:tmpl w:val="B864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76A15882"/>
    <w:multiLevelType w:val="multilevel"/>
    <w:tmpl w:val="6A9684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0" w15:restartNumberingAfterBreak="0">
    <w:nsid w:val="77B5206A"/>
    <w:multiLevelType w:val="multilevel"/>
    <w:tmpl w:val="7B18AF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1" w15:restartNumberingAfterBreak="0">
    <w:nsid w:val="77C87C4B"/>
    <w:multiLevelType w:val="multilevel"/>
    <w:tmpl w:val="2594E0D6"/>
    <w:lvl w:ilvl="0">
      <w:start w:val="11"/>
      <w:numFmt w:val="decimal"/>
      <w:lvlText w:val="%1"/>
      <w:lvlJc w:val="left"/>
      <w:pPr>
        <w:ind w:left="390" w:hanging="390"/>
      </w:pPr>
      <w:rPr>
        <w:rFonts w:ascii="Calibri" w:hAnsi="Calibri" w:hint="default"/>
        <w:sz w:val="22"/>
      </w:rPr>
    </w:lvl>
    <w:lvl w:ilvl="1">
      <w:start w:val="3"/>
      <w:numFmt w:val="decimal"/>
      <w:lvlText w:val="%1.%2"/>
      <w:lvlJc w:val="left"/>
      <w:pPr>
        <w:ind w:left="390" w:hanging="390"/>
      </w:pPr>
      <w:rPr>
        <w:rFonts w:ascii="Calibri" w:hAnsi="Calibri" w:hint="default"/>
        <w:sz w:val="22"/>
      </w:rPr>
    </w:lvl>
    <w:lvl w:ilvl="2">
      <w:start w:val="1"/>
      <w:numFmt w:val="decimal"/>
      <w:lvlText w:val="%1.%2.%3"/>
      <w:lvlJc w:val="left"/>
      <w:pPr>
        <w:ind w:left="720" w:hanging="720"/>
      </w:pPr>
      <w:rPr>
        <w:rFonts w:ascii="Calibri" w:hAnsi="Calibri" w:hint="default"/>
        <w:sz w:val="22"/>
      </w:rPr>
    </w:lvl>
    <w:lvl w:ilvl="3">
      <w:start w:val="1"/>
      <w:numFmt w:val="decimal"/>
      <w:lvlText w:val="%1.%2.%3.%4"/>
      <w:lvlJc w:val="left"/>
      <w:pPr>
        <w:ind w:left="720" w:hanging="720"/>
      </w:pPr>
      <w:rPr>
        <w:rFonts w:ascii="Calibri" w:hAnsi="Calibri" w:hint="default"/>
        <w:sz w:val="22"/>
      </w:rPr>
    </w:lvl>
    <w:lvl w:ilvl="4">
      <w:start w:val="1"/>
      <w:numFmt w:val="decimal"/>
      <w:lvlText w:val="%1.%2.%3.%4.%5"/>
      <w:lvlJc w:val="left"/>
      <w:pPr>
        <w:ind w:left="1080" w:hanging="1080"/>
      </w:pPr>
      <w:rPr>
        <w:rFonts w:ascii="Calibri" w:hAnsi="Calibri" w:hint="default"/>
        <w:sz w:val="22"/>
      </w:rPr>
    </w:lvl>
    <w:lvl w:ilvl="5">
      <w:start w:val="1"/>
      <w:numFmt w:val="decimal"/>
      <w:lvlText w:val="%1.%2.%3.%4.%5.%6"/>
      <w:lvlJc w:val="left"/>
      <w:pPr>
        <w:ind w:left="1080" w:hanging="1080"/>
      </w:pPr>
      <w:rPr>
        <w:rFonts w:ascii="Calibri" w:hAnsi="Calibri" w:hint="default"/>
        <w:sz w:val="22"/>
      </w:rPr>
    </w:lvl>
    <w:lvl w:ilvl="6">
      <w:start w:val="1"/>
      <w:numFmt w:val="decimal"/>
      <w:lvlText w:val="%1.%2.%3.%4.%5.%6.%7"/>
      <w:lvlJc w:val="left"/>
      <w:pPr>
        <w:ind w:left="1440" w:hanging="1440"/>
      </w:pPr>
      <w:rPr>
        <w:rFonts w:ascii="Calibri" w:hAnsi="Calibri" w:hint="default"/>
        <w:sz w:val="22"/>
      </w:rPr>
    </w:lvl>
    <w:lvl w:ilvl="7">
      <w:start w:val="1"/>
      <w:numFmt w:val="decimal"/>
      <w:lvlText w:val="%1.%2.%3.%4.%5.%6.%7.%8"/>
      <w:lvlJc w:val="left"/>
      <w:pPr>
        <w:ind w:left="1440" w:hanging="1440"/>
      </w:pPr>
      <w:rPr>
        <w:rFonts w:ascii="Calibri" w:hAnsi="Calibri" w:hint="default"/>
        <w:sz w:val="22"/>
      </w:rPr>
    </w:lvl>
    <w:lvl w:ilvl="8">
      <w:start w:val="1"/>
      <w:numFmt w:val="decimal"/>
      <w:lvlText w:val="%1.%2.%3.%4.%5.%6.%7.%8.%9"/>
      <w:lvlJc w:val="left"/>
      <w:pPr>
        <w:ind w:left="1440" w:hanging="1440"/>
      </w:pPr>
      <w:rPr>
        <w:rFonts w:ascii="Calibri" w:hAnsi="Calibri" w:hint="default"/>
        <w:sz w:val="22"/>
      </w:rPr>
    </w:lvl>
  </w:abstractNum>
  <w:abstractNum w:abstractNumId="172" w15:restartNumberingAfterBreak="0">
    <w:nsid w:val="785D5C51"/>
    <w:multiLevelType w:val="multilevel"/>
    <w:tmpl w:val="B3DC919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789B3656"/>
    <w:multiLevelType w:val="multilevel"/>
    <w:tmpl w:val="732C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79E9271E"/>
    <w:multiLevelType w:val="multilevel"/>
    <w:tmpl w:val="BAF27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7A2F41F3"/>
    <w:multiLevelType w:val="multilevel"/>
    <w:tmpl w:val="B37874E8"/>
    <w:lvl w:ilvl="0">
      <w:start w:val="1"/>
      <w:numFmt w:val="bullet"/>
      <w:lvlText w:val="o"/>
      <w:lvlJc w:val="left"/>
      <w:pPr>
        <w:tabs>
          <w:tab w:val="num" w:pos="1440"/>
        </w:tabs>
        <w:ind w:left="1440" w:hanging="360"/>
      </w:pPr>
      <w:rPr>
        <w:rFonts w:ascii="Courier New" w:hAnsi="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o"/>
      <w:lvlJc w:val="left"/>
      <w:pPr>
        <w:tabs>
          <w:tab w:val="num" w:pos="2880"/>
        </w:tabs>
        <w:ind w:left="2880" w:hanging="360"/>
      </w:pPr>
      <w:rPr>
        <w:rFonts w:ascii="Courier New" w:hAnsi="Courier New" w:hint="default"/>
        <w:sz w:val="20"/>
      </w:rPr>
    </w:lvl>
    <w:lvl w:ilvl="3" w:tentative="1">
      <w:start w:val="1"/>
      <w:numFmt w:val="bullet"/>
      <w:lvlText w:val="o"/>
      <w:lvlJc w:val="left"/>
      <w:pPr>
        <w:tabs>
          <w:tab w:val="num" w:pos="3600"/>
        </w:tabs>
        <w:ind w:left="3600" w:hanging="360"/>
      </w:pPr>
      <w:rPr>
        <w:rFonts w:ascii="Courier New" w:hAnsi="Courier New" w:hint="default"/>
        <w:sz w:val="20"/>
      </w:rPr>
    </w:lvl>
    <w:lvl w:ilvl="4" w:tentative="1">
      <w:start w:val="1"/>
      <w:numFmt w:val="bullet"/>
      <w:lvlText w:val="o"/>
      <w:lvlJc w:val="left"/>
      <w:pPr>
        <w:tabs>
          <w:tab w:val="num" w:pos="4320"/>
        </w:tabs>
        <w:ind w:left="4320" w:hanging="360"/>
      </w:pPr>
      <w:rPr>
        <w:rFonts w:ascii="Courier New" w:hAnsi="Courier New" w:hint="default"/>
        <w:sz w:val="20"/>
      </w:rPr>
    </w:lvl>
    <w:lvl w:ilvl="5" w:tentative="1">
      <w:start w:val="1"/>
      <w:numFmt w:val="bullet"/>
      <w:lvlText w:val="o"/>
      <w:lvlJc w:val="left"/>
      <w:pPr>
        <w:tabs>
          <w:tab w:val="num" w:pos="5040"/>
        </w:tabs>
        <w:ind w:left="5040" w:hanging="360"/>
      </w:pPr>
      <w:rPr>
        <w:rFonts w:ascii="Courier New" w:hAnsi="Courier New" w:hint="default"/>
        <w:sz w:val="20"/>
      </w:rPr>
    </w:lvl>
    <w:lvl w:ilvl="6" w:tentative="1">
      <w:start w:val="1"/>
      <w:numFmt w:val="bullet"/>
      <w:lvlText w:val="o"/>
      <w:lvlJc w:val="left"/>
      <w:pPr>
        <w:tabs>
          <w:tab w:val="num" w:pos="5760"/>
        </w:tabs>
        <w:ind w:left="5760" w:hanging="360"/>
      </w:pPr>
      <w:rPr>
        <w:rFonts w:ascii="Courier New" w:hAnsi="Courier New" w:hint="default"/>
        <w:sz w:val="20"/>
      </w:rPr>
    </w:lvl>
    <w:lvl w:ilvl="7" w:tentative="1">
      <w:start w:val="1"/>
      <w:numFmt w:val="bullet"/>
      <w:lvlText w:val="o"/>
      <w:lvlJc w:val="left"/>
      <w:pPr>
        <w:tabs>
          <w:tab w:val="num" w:pos="6480"/>
        </w:tabs>
        <w:ind w:left="6480" w:hanging="360"/>
      </w:pPr>
      <w:rPr>
        <w:rFonts w:ascii="Courier New" w:hAnsi="Courier New" w:hint="default"/>
        <w:sz w:val="20"/>
      </w:rPr>
    </w:lvl>
    <w:lvl w:ilvl="8" w:tentative="1">
      <w:start w:val="1"/>
      <w:numFmt w:val="bullet"/>
      <w:lvlText w:val="o"/>
      <w:lvlJc w:val="left"/>
      <w:pPr>
        <w:tabs>
          <w:tab w:val="num" w:pos="7200"/>
        </w:tabs>
        <w:ind w:left="7200" w:hanging="360"/>
      </w:pPr>
      <w:rPr>
        <w:rFonts w:ascii="Courier New" w:hAnsi="Courier New" w:hint="default"/>
        <w:sz w:val="20"/>
      </w:rPr>
    </w:lvl>
  </w:abstractNum>
  <w:abstractNum w:abstractNumId="176" w15:restartNumberingAfterBreak="0">
    <w:nsid w:val="7C481AD3"/>
    <w:multiLevelType w:val="multilevel"/>
    <w:tmpl w:val="A8425E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CB573E1"/>
    <w:multiLevelType w:val="multilevel"/>
    <w:tmpl w:val="8BF23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7D7702AF"/>
    <w:multiLevelType w:val="multilevel"/>
    <w:tmpl w:val="414AFF6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9" w15:restartNumberingAfterBreak="0">
    <w:nsid w:val="7F8F5415"/>
    <w:multiLevelType w:val="multilevel"/>
    <w:tmpl w:val="D1B80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96527189">
    <w:abstractNumId w:val="39"/>
  </w:num>
  <w:num w:numId="2" w16cid:durableId="1014386108">
    <w:abstractNumId w:val="84"/>
  </w:num>
  <w:num w:numId="3" w16cid:durableId="1027752186">
    <w:abstractNumId w:val="15"/>
  </w:num>
  <w:num w:numId="4" w16cid:durableId="1101535298">
    <w:abstractNumId w:val="121"/>
  </w:num>
  <w:num w:numId="5" w16cid:durableId="1137843067">
    <w:abstractNumId w:val="3"/>
  </w:num>
  <w:num w:numId="6" w16cid:durableId="1159225804">
    <w:abstractNumId w:val="44"/>
  </w:num>
  <w:num w:numId="7" w16cid:durableId="1168910162">
    <w:abstractNumId w:val="169"/>
  </w:num>
  <w:num w:numId="8" w16cid:durableId="1217856910">
    <w:abstractNumId w:val="151"/>
  </w:num>
  <w:num w:numId="9" w16cid:durableId="1227883062">
    <w:abstractNumId w:val="78"/>
  </w:num>
  <w:num w:numId="10" w16cid:durableId="1240753504">
    <w:abstractNumId w:val="166"/>
  </w:num>
  <w:num w:numId="11" w16cid:durableId="1247611260">
    <w:abstractNumId w:val="34"/>
  </w:num>
  <w:num w:numId="12" w16cid:durableId="1248810493">
    <w:abstractNumId w:val="105"/>
  </w:num>
  <w:num w:numId="13" w16cid:durableId="1311398060">
    <w:abstractNumId w:val="88"/>
  </w:num>
  <w:num w:numId="14" w16cid:durableId="1330404608">
    <w:abstractNumId w:val="112"/>
  </w:num>
  <w:num w:numId="15" w16cid:durableId="1332879131">
    <w:abstractNumId w:val="100"/>
  </w:num>
  <w:num w:numId="16" w16cid:durableId="1334600179">
    <w:abstractNumId w:val="7"/>
  </w:num>
  <w:num w:numId="17" w16cid:durableId="1350136847">
    <w:abstractNumId w:val="161"/>
  </w:num>
  <w:num w:numId="18" w16cid:durableId="1353846665">
    <w:abstractNumId w:val="170"/>
  </w:num>
  <w:num w:numId="19" w16cid:durableId="1358122462">
    <w:abstractNumId w:val="156"/>
  </w:num>
  <w:num w:numId="20" w16cid:durableId="1375499014">
    <w:abstractNumId w:val="48"/>
  </w:num>
  <w:num w:numId="21" w16cid:durableId="1394616225">
    <w:abstractNumId w:val="131"/>
  </w:num>
  <w:num w:numId="22" w16cid:durableId="1409493884">
    <w:abstractNumId w:val="19"/>
  </w:num>
  <w:num w:numId="23" w16cid:durableId="1424836984">
    <w:abstractNumId w:val="116"/>
  </w:num>
  <w:num w:numId="24" w16cid:durableId="144976315">
    <w:abstractNumId w:val="14"/>
  </w:num>
  <w:num w:numId="25" w16cid:durableId="1475443646">
    <w:abstractNumId w:val="178"/>
  </w:num>
  <w:num w:numId="26" w16cid:durableId="1477725844">
    <w:abstractNumId w:val="2"/>
  </w:num>
  <w:num w:numId="27" w16cid:durableId="147983519">
    <w:abstractNumId w:val="133"/>
  </w:num>
  <w:num w:numId="28" w16cid:durableId="1520775005">
    <w:abstractNumId w:val="58"/>
  </w:num>
  <w:num w:numId="29" w16cid:durableId="1542790381">
    <w:abstractNumId w:val="57"/>
  </w:num>
  <w:num w:numId="30" w16cid:durableId="1543441406">
    <w:abstractNumId w:val="168"/>
  </w:num>
  <w:num w:numId="31" w16cid:durableId="1546912926">
    <w:abstractNumId w:val="66"/>
  </w:num>
  <w:num w:numId="32" w16cid:durableId="1548487709">
    <w:abstractNumId w:val="50"/>
  </w:num>
  <w:num w:numId="33" w16cid:durableId="1562905352">
    <w:abstractNumId w:val="150"/>
  </w:num>
  <w:num w:numId="34" w16cid:durableId="1575048579">
    <w:abstractNumId w:val="49"/>
  </w:num>
  <w:num w:numId="35" w16cid:durableId="1588611313">
    <w:abstractNumId w:val="102"/>
  </w:num>
  <w:num w:numId="36" w16cid:durableId="1642996500">
    <w:abstractNumId w:val="124"/>
  </w:num>
  <w:num w:numId="37" w16cid:durableId="1668749627">
    <w:abstractNumId w:val="159"/>
  </w:num>
  <w:num w:numId="38" w16cid:durableId="1705398432">
    <w:abstractNumId w:val="129"/>
  </w:num>
  <w:num w:numId="39" w16cid:durableId="1726181634">
    <w:abstractNumId w:val="128"/>
  </w:num>
  <w:num w:numId="40" w16cid:durableId="1744644500">
    <w:abstractNumId w:val="32"/>
  </w:num>
  <w:num w:numId="41" w16cid:durableId="1752389512">
    <w:abstractNumId w:val="7"/>
  </w:num>
  <w:num w:numId="42" w16cid:durableId="1764884911">
    <w:abstractNumId w:val="61"/>
  </w:num>
  <w:num w:numId="43" w16cid:durableId="1853566291">
    <w:abstractNumId w:val="6"/>
  </w:num>
  <w:num w:numId="44" w16cid:durableId="1856072840">
    <w:abstractNumId w:val="94"/>
  </w:num>
  <w:num w:numId="45" w16cid:durableId="1857645860">
    <w:abstractNumId w:val="103"/>
  </w:num>
  <w:num w:numId="46" w16cid:durableId="1878008484">
    <w:abstractNumId w:val="28"/>
  </w:num>
  <w:num w:numId="47" w16cid:durableId="1892840918">
    <w:abstractNumId w:val="139"/>
  </w:num>
  <w:num w:numId="48" w16cid:durableId="1905405022">
    <w:abstractNumId w:val="167"/>
  </w:num>
  <w:num w:numId="49" w16cid:durableId="1948459528">
    <w:abstractNumId w:val="165"/>
  </w:num>
  <w:num w:numId="50" w16cid:durableId="195046081">
    <w:abstractNumId w:val="154"/>
  </w:num>
  <w:num w:numId="51" w16cid:durableId="1953703865">
    <w:abstractNumId w:val="120"/>
  </w:num>
  <w:num w:numId="52" w16cid:durableId="1975259375">
    <w:abstractNumId w:val="107"/>
  </w:num>
  <w:num w:numId="53" w16cid:durableId="1991010357">
    <w:abstractNumId w:val="23"/>
  </w:num>
  <w:num w:numId="54" w16cid:durableId="200173857">
    <w:abstractNumId w:val="113"/>
  </w:num>
  <w:num w:numId="55" w16cid:durableId="2005208175">
    <w:abstractNumId w:val="144"/>
  </w:num>
  <w:num w:numId="56" w16cid:durableId="2011709035">
    <w:abstractNumId w:val="158"/>
  </w:num>
  <w:num w:numId="57" w16cid:durableId="2077624018">
    <w:abstractNumId w:val="85"/>
  </w:num>
  <w:num w:numId="58" w16cid:durableId="2082097436">
    <w:abstractNumId w:val="171"/>
  </w:num>
  <w:num w:numId="59" w16cid:durableId="2084984186">
    <w:abstractNumId w:val="179"/>
  </w:num>
  <w:num w:numId="60" w16cid:durableId="2086223905">
    <w:abstractNumId w:val="149"/>
  </w:num>
  <w:num w:numId="61" w16cid:durableId="210924996">
    <w:abstractNumId w:val="41"/>
  </w:num>
  <w:num w:numId="62" w16cid:durableId="2141343441">
    <w:abstractNumId w:val="22"/>
  </w:num>
  <w:num w:numId="63" w16cid:durableId="232204653">
    <w:abstractNumId w:val="26"/>
  </w:num>
  <w:num w:numId="64" w16cid:durableId="23677894">
    <w:abstractNumId w:val="117"/>
  </w:num>
  <w:num w:numId="65" w16cid:durableId="398408414">
    <w:abstractNumId w:val="125"/>
  </w:num>
  <w:num w:numId="66" w16cid:durableId="416051212">
    <w:abstractNumId w:val="138"/>
  </w:num>
  <w:num w:numId="67" w16cid:durableId="423913951">
    <w:abstractNumId w:val="95"/>
  </w:num>
  <w:num w:numId="68" w16cid:durableId="430124157">
    <w:abstractNumId w:val="69"/>
  </w:num>
  <w:num w:numId="69" w16cid:durableId="447050617">
    <w:abstractNumId w:val="79"/>
  </w:num>
  <w:num w:numId="70" w16cid:durableId="522667294">
    <w:abstractNumId w:val="46"/>
  </w:num>
  <w:num w:numId="71" w16cid:durableId="536817414">
    <w:abstractNumId w:val="12"/>
  </w:num>
  <w:num w:numId="72" w16cid:durableId="540827741">
    <w:abstractNumId w:val="93"/>
  </w:num>
  <w:num w:numId="73" w16cid:durableId="546838437">
    <w:abstractNumId w:val="130"/>
  </w:num>
  <w:num w:numId="74" w16cid:durableId="554896787">
    <w:abstractNumId w:val="157"/>
  </w:num>
  <w:num w:numId="75" w16cid:durableId="566185252">
    <w:abstractNumId w:val="47"/>
  </w:num>
  <w:num w:numId="76" w16cid:durableId="570699989">
    <w:abstractNumId w:val="175"/>
  </w:num>
  <w:num w:numId="77" w16cid:durableId="572201399">
    <w:abstractNumId w:val="59"/>
  </w:num>
  <w:num w:numId="78" w16cid:durableId="57900371">
    <w:abstractNumId w:val="90"/>
  </w:num>
  <w:num w:numId="79" w16cid:durableId="612596115">
    <w:abstractNumId w:val="27"/>
  </w:num>
  <w:num w:numId="80" w16cid:durableId="627978248">
    <w:abstractNumId w:val="111"/>
  </w:num>
  <w:num w:numId="81" w16cid:durableId="648902899">
    <w:abstractNumId w:val="70"/>
  </w:num>
  <w:num w:numId="82" w16cid:durableId="653682153">
    <w:abstractNumId w:val="115"/>
  </w:num>
  <w:num w:numId="83" w16cid:durableId="657154583">
    <w:abstractNumId w:val="5"/>
  </w:num>
  <w:num w:numId="84" w16cid:durableId="662271193">
    <w:abstractNumId w:val="147"/>
  </w:num>
  <w:num w:numId="85" w16cid:durableId="690380994">
    <w:abstractNumId w:val="96"/>
  </w:num>
  <w:num w:numId="86" w16cid:durableId="771819099">
    <w:abstractNumId w:val="63"/>
  </w:num>
  <w:num w:numId="87" w16cid:durableId="775758733">
    <w:abstractNumId w:val="10"/>
  </w:num>
  <w:num w:numId="88" w16cid:durableId="793452369">
    <w:abstractNumId w:val="80"/>
  </w:num>
  <w:num w:numId="89" w16cid:durableId="823198454">
    <w:abstractNumId w:val="82"/>
  </w:num>
  <w:num w:numId="90" w16cid:durableId="824008146">
    <w:abstractNumId w:val="24"/>
  </w:num>
  <w:num w:numId="91" w16cid:durableId="828860746">
    <w:abstractNumId w:val="176"/>
  </w:num>
  <w:num w:numId="92" w16cid:durableId="832449329">
    <w:abstractNumId w:val="31"/>
  </w:num>
  <w:num w:numId="93" w16cid:durableId="837379123">
    <w:abstractNumId w:val="11"/>
  </w:num>
  <w:num w:numId="94" w16cid:durableId="83965811">
    <w:abstractNumId w:val="68"/>
  </w:num>
  <w:num w:numId="95" w16cid:durableId="862863257">
    <w:abstractNumId w:val="142"/>
  </w:num>
  <w:num w:numId="96" w16cid:durableId="899831141">
    <w:abstractNumId w:val="108"/>
  </w:num>
  <w:num w:numId="97" w16cid:durableId="909121108">
    <w:abstractNumId w:val="8"/>
  </w:num>
  <w:num w:numId="98" w16cid:durableId="909997507">
    <w:abstractNumId w:val="118"/>
  </w:num>
  <w:num w:numId="99" w16cid:durableId="915866258">
    <w:abstractNumId w:val="101"/>
  </w:num>
  <w:num w:numId="100" w16cid:durableId="937248475">
    <w:abstractNumId w:val="145"/>
  </w:num>
  <w:num w:numId="101" w16cid:durableId="962928316">
    <w:abstractNumId w:val="99"/>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E75"/>
    <w:rsid w:val="00034616"/>
    <w:rsid w:val="00051B39"/>
    <w:rsid w:val="0006063C"/>
    <w:rsid w:val="00064328"/>
    <w:rsid w:val="000843F0"/>
    <w:rsid w:val="000B0808"/>
    <w:rsid w:val="000B7D54"/>
    <w:rsid w:val="000D660C"/>
    <w:rsid w:val="000F60E3"/>
    <w:rsid w:val="00112282"/>
    <w:rsid w:val="0012100E"/>
    <w:rsid w:val="00131B81"/>
    <w:rsid w:val="00136941"/>
    <w:rsid w:val="0015074B"/>
    <w:rsid w:val="00153E12"/>
    <w:rsid w:val="00167C6A"/>
    <w:rsid w:val="0019445B"/>
    <w:rsid w:val="001B2141"/>
    <w:rsid w:val="001F12C1"/>
    <w:rsid w:val="001F4196"/>
    <w:rsid w:val="001F54B3"/>
    <w:rsid w:val="002324E4"/>
    <w:rsid w:val="002477D0"/>
    <w:rsid w:val="0029484F"/>
    <w:rsid w:val="0029639D"/>
    <w:rsid w:val="002D6ED3"/>
    <w:rsid w:val="00326F90"/>
    <w:rsid w:val="003541FE"/>
    <w:rsid w:val="00360F8E"/>
    <w:rsid w:val="00377665"/>
    <w:rsid w:val="0039662F"/>
    <w:rsid w:val="003C2FB9"/>
    <w:rsid w:val="003D6747"/>
    <w:rsid w:val="004072B0"/>
    <w:rsid w:val="00430F41"/>
    <w:rsid w:val="00455F10"/>
    <w:rsid w:val="0047242A"/>
    <w:rsid w:val="00490C7A"/>
    <w:rsid w:val="004A1027"/>
    <w:rsid w:val="004C51A4"/>
    <w:rsid w:val="004F3E07"/>
    <w:rsid w:val="005127AD"/>
    <w:rsid w:val="00519CDA"/>
    <w:rsid w:val="00575E43"/>
    <w:rsid w:val="00592D2E"/>
    <w:rsid w:val="00593A56"/>
    <w:rsid w:val="005B0B47"/>
    <w:rsid w:val="005B1DE3"/>
    <w:rsid w:val="005C735E"/>
    <w:rsid w:val="005E11A5"/>
    <w:rsid w:val="005E6CA6"/>
    <w:rsid w:val="00611F58"/>
    <w:rsid w:val="00614AB9"/>
    <w:rsid w:val="006A51FC"/>
    <w:rsid w:val="006A5D1B"/>
    <w:rsid w:val="006E65C9"/>
    <w:rsid w:val="0070147F"/>
    <w:rsid w:val="00753963"/>
    <w:rsid w:val="0077261F"/>
    <w:rsid w:val="00797B13"/>
    <w:rsid w:val="007B2832"/>
    <w:rsid w:val="007B3092"/>
    <w:rsid w:val="007B5A23"/>
    <w:rsid w:val="007C1802"/>
    <w:rsid w:val="007F6B92"/>
    <w:rsid w:val="00812E00"/>
    <w:rsid w:val="00814334"/>
    <w:rsid w:val="00882DF2"/>
    <w:rsid w:val="008B2A56"/>
    <w:rsid w:val="008F39D6"/>
    <w:rsid w:val="009209F4"/>
    <w:rsid w:val="00945FBE"/>
    <w:rsid w:val="00955E13"/>
    <w:rsid w:val="00979C86"/>
    <w:rsid w:val="009A096C"/>
    <w:rsid w:val="009B29E9"/>
    <w:rsid w:val="009B5203"/>
    <w:rsid w:val="009B760D"/>
    <w:rsid w:val="009D13C5"/>
    <w:rsid w:val="009E59FB"/>
    <w:rsid w:val="009E6FDA"/>
    <w:rsid w:val="00A01948"/>
    <w:rsid w:val="00A1220E"/>
    <w:rsid w:val="00A126B4"/>
    <w:rsid w:val="00A202A1"/>
    <w:rsid w:val="00A26C8A"/>
    <w:rsid w:val="00A400A8"/>
    <w:rsid w:val="00A443C1"/>
    <w:rsid w:val="00A53D85"/>
    <w:rsid w:val="00A55636"/>
    <w:rsid w:val="00A9175C"/>
    <w:rsid w:val="00AA1D8D"/>
    <w:rsid w:val="00AC41DE"/>
    <w:rsid w:val="00AE2F98"/>
    <w:rsid w:val="00AE613D"/>
    <w:rsid w:val="00B34A28"/>
    <w:rsid w:val="00B41A66"/>
    <w:rsid w:val="00B47730"/>
    <w:rsid w:val="00B51A3F"/>
    <w:rsid w:val="00B51C6D"/>
    <w:rsid w:val="00B54AD3"/>
    <w:rsid w:val="00B838D1"/>
    <w:rsid w:val="00BA6E38"/>
    <w:rsid w:val="00BE41FE"/>
    <w:rsid w:val="00C3608C"/>
    <w:rsid w:val="00C762B2"/>
    <w:rsid w:val="00CA1458"/>
    <w:rsid w:val="00CA5202"/>
    <w:rsid w:val="00CB0664"/>
    <w:rsid w:val="00CB4B72"/>
    <w:rsid w:val="00CD56B3"/>
    <w:rsid w:val="00CF334E"/>
    <w:rsid w:val="00CF7ECE"/>
    <w:rsid w:val="00D162F7"/>
    <w:rsid w:val="00D16ABC"/>
    <w:rsid w:val="00D36D2A"/>
    <w:rsid w:val="00D45FB6"/>
    <w:rsid w:val="00D47676"/>
    <w:rsid w:val="00D86329"/>
    <w:rsid w:val="00D92EB8"/>
    <w:rsid w:val="00DB44D6"/>
    <w:rsid w:val="00DC4218"/>
    <w:rsid w:val="00DF0EE1"/>
    <w:rsid w:val="00DF4BE4"/>
    <w:rsid w:val="00E114AF"/>
    <w:rsid w:val="00E14520"/>
    <w:rsid w:val="00E6432E"/>
    <w:rsid w:val="00E87A72"/>
    <w:rsid w:val="00EA6484"/>
    <w:rsid w:val="00EC2DE5"/>
    <w:rsid w:val="00EE0CF2"/>
    <w:rsid w:val="00EF6A2D"/>
    <w:rsid w:val="00F12F41"/>
    <w:rsid w:val="00F30C91"/>
    <w:rsid w:val="00F7892D"/>
    <w:rsid w:val="00F8771E"/>
    <w:rsid w:val="00F96F18"/>
    <w:rsid w:val="00FA1202"/>
    <w:rsid w:val="00FA23F0"/>
    <w:rsid w:val="00FB6CD9"/>
    <w:rsid w:val="00FC6320"/>
    <w:rsid w:val="00FC693F"/>
    <w:rsid w:val="00FF2AF2"/>
    <w:rsid w:val="00FF48B2"/>
    <w:rsid w:val="00FF7A1B"/>
    <w:rsid w:val="01F0FDDC"/>
    <w:rsid w:val="01FCA4E4"/>
    <w:rsid w:val="0209AE86"/>
    <w:rsid w:val="0251B87A"/>
    <w:rsid w:val="025740DF"/>
    <w:rsid w:val="02889C2C"/>
    <w:rsid w:val="02980F63"/>
    <w:rsid w:val="0344EFBD"/>
    <w:rsid w:val="037A3567"/>
    <w:rsid w:val="03BD6F82"/>
    <w:rsid w:val="041D7776"/>
    <w:rsid w:val="044E7D58"/>
    <w:rsid w:val="045005D3"/>
    <w:rsid w:val="049D7BD0"/>
    <w:rsid w:val="04B359C1"/>
    <w:rsid w:val="04EED8AB"/>
    <w:rsid w:val="0579813C"/>
    <w:rsid w:val="05E7C872"/>
    <w:rsid w:val="05EA8416"/>
    <w:rsid w:val="05F4C656"/>
    <w:rsid w:val="0664F8C2"/>
    <w:rsid w:val="069D9EDD"/>
    <w:rsid w:val="06E85526"/>
    <w:rsid w:val="07E524D2"/>
    <w:rsid w:val="082AECDD"/>
    <w:rsid w:val="0842C6F0"/>
    <w:rsid w:val="0876A3CC"/>
    <w:rsid w:val="090AF838"/>
    <w:rsid w:val="09ACB05F"/>
    <w:rsid w:val="0B1DC67A"/>
    <w:rsid w:val="0B28253B"/>
    <w:rsid w:val="0B86A347"/>
    <w:rsid w:val="0C127CAD"/>
    <w:rsid w:val="0CEEF1B3"/>
    <w:rsid w:val="0D122668"/>
    <w:rsid w:val="0D3269C1"/>
    <w:rsid w:val="0D52FF42"/>
    <w:rsid w:val="0D759E06"/>
    <w:rsid w:val="0D96E3E3"/>
    <w:rsid w:val="0DE6B02C"/>
    <w:rsid w:val="0DEA0332"/>
    <w:rsid w:val="0E7FEA66"/>
    <w:rsid w:val="0EBEDF91"/>
    <w:rsid w:val="0EF048AE"/>
    <w:rsid w:val="0F6CF52E"/>
    <w:rsid w:val="0FB26B40"/>
    <w:rsid w:val="106B8BEC"/>
    <w:rsid w:val="10A42B58"/>
    <w:rsid w:val="10BD22E1"/>
    <w:rsid w:val="1226328F"/>
    <w:rsid w:val="122FDB60"/>
    <w:rsid w:val="1286FB44"/>
    <w:rsid w:val="12B23291"/>
    <w:rsid w:val="13011CBC"/>
    <w:rsid w:val="134AF2EC"/>
    <w:rsid w:val="137CB1AF"/>
    <w:rsid w:val="139BD0DE"/>
    <w:rsid w:val="13AB316B"/>
    <w:rsid w:val="13B5B61A"/>
    <w:rsid w:val="13FEA613"/>
    <w:rsid w:val="1481930C"/>
    <w:rsid w:val="14B0343A"/>
    <w:rsid w:val="14C7239B"/>
    <w:rsid w:val="14DFC685"/>
    <w:rsid w:val="1500F0F2"/>
    <w:rsid w:val="15645C89"/>
    <w:rsid w:val="157AB30B"/>
    <w:rsid w:val="158C89D7"/>
    <w:rsid w:val="16349C99"/>
    <w:rsid w:val="1653D51A"/>
    <w:rsid w:val="1660773B"/>
    <w:rsid w:val="16BCE282"/>
    <w:rsid w:val="172E65E5"/>
    <w:rsid w:val="1832C866"/>
    <w:rsid w:val="18592A86"/>
    <w:rsid w:val="186ECE67"/>
    <w:rsid w:val="18E50683"/>
    <w:rsid w:val="1928B87D"/>
    <w:rsid w:val="192BAE30"/>
    <w:rsid w:val="1932DB6B"/>
    <w:rsid w:val="19495BB1"/>
    <w:rsid w:val="198CAFC8"/>
    <w:rsid w:val="19F110DD"/>
    <w:rsid w:val="19F937A4"/>
    <w:rsid w:val="1A4A42D7"/>
    <w:rsid w:val="1A5A044E"/>
    <w:rsid w:val="1A64D8DA"/>
    <w:rsid w:val="1A7058DB"/>
    <w:rsid w:val="1AFEFFDE"/>
    <w:rsid w:val="1B217613"/>
    <w:rsid w:val="1B60EF44"/>
    <w:rsid w:val="1B62D7D4"/>
    <w:rsid w:val="1B7CB84C"/>
    <w:rsid w:val="1B950A1C"/>
    <w:rsid w:val="1B9E6710"/>
    <w:rsid w:val="1B9FCAFF"/>
    <w:rsid w:val="1BCAB73A"/>
    <w:rsid w:val="1BD23B94"/>
    <w:rsid w:val="1C255AAF"/>
    <w:rsid w:val="1C8BFEB3"/>
    <w:rsid w:val="1CFF814F"/>
    <w:rsid w:val="1D02DCD8"/>
    <w:rsid w:val="1D3A87B2"/>
    <w:rsid w:val="1DB2E517"/>
    <w:rsid w:val="1DBC2B35"/>
    <w:rsid w:val="1ED602BC"/>
    <w:rsid w:val="1EF43B26"/>
    <w:rsid w:val="1F2A8AFD"/>
    <w:rsid w:val="1F98375B"/>
    <w:rsid w:val="1F9A20F2"/>
    <w:rsid w:val="1FBC2AC2"/>
    <w:rsid w:val="1FCADFCB"/>
    <w:rsid w:val="203B6BE7"/>
    <w:rsid w:val="207430EA"/>
    <w:rsid w:val="2081AFD7"/>
    <w:rsid w:val="217AC9E6"/>
    <w:rsid w:val="21B0D673"/>
    <w:rsid w:val="21D0008A"/>
    <w:rsid w:val="2232D914"/>
    <w:rsid w:val="2255C1BD"/>
    <w:rsid w:val="226BB21D"/>
    <w:rsid w:val="23603223"/>
    <w:rsid w:val="2420DED4"/>
    <w:rsid w:val="245969C9"/>
    <w:rsid w:val="24929F7B"/>
    <w:rsid w:val="24AFD08A"/>
    <w:rsid w:val="24D56B4E"/>
    <w:rsid w:val="2562415D"/>
    <w:rsid w:val="25E3FF90"/>
    <w:rsid w:val="261C8632"/>
    <w:rsid w:val="265D2F43"/>
    <w:rsid w:val="28225BC5"/>
    <w:rsid w:val="282A6792"/>
    <w:rsid w:val="2911B47F"/>
    <w:rsid w:val="293CC01E"/>
    <w:rsid w:val="296FE3E5"/>
    <w:rsid w:val="297165B2"/>
    <w:rsid w:val="2A28639D"/>
    <w:rsid w:val="2AA21C5E"/>
    <w:rsid w:val="2B60F594"/>
    <w:rsid w:val="2B698FBF"/>
    <w:rsid w:val="2B8AF047"/>
    <w:rsid w:val="2BB3C807"/>
    <w:rsid w:val="2C9CC53C"/>
    <w:rsid w:val="2D22174D"/>
    <w:rsid w:val="2D5595E8"/>
    <w:rsid w:val="2D7174C9"/>
    <w:rsid w:val="2DF27812"/>
    <w:rsid w:val="2DF27DD4"/>
    <w:rsid w:val="2E0EADB1"/>
    <w:rsid w:val="2F0C145C"/>
    <w:rsid w:val="2F660653"/>
    <w:rsid w:val="2FB18DC5"/>
    <w:rsid w:val="2FDA017C"/>
    <w:rsid w:val="2FDB5BB2"/>
    <w:rsid w:val="2FE13B02"/>
    <w:rsid w:val="303A0084"/>
    <w:rsid w:val="30489085"/>
    <w:rsid w:val="31AB0F8E"/>
    <w:rsid w:val="32186100"/>
    <w:rsid w:val="321A95DA"/>
    <w:rsid w:val="32388C7A"/>
    <w:rsid w:val="323FED1A"/>
    <w:rsid w:val="33401904"/>
    <w:rsid w:val="33C25547"/>
    <w:rsid w:val="33DD9AE4"/>
    <w:rsid w:val="3438B933"/>
    <w:rsid w:val="3482DE4F"/>
    <w:rsid w:val="349B44C5"/>
    <w:rsid w:val="35DB768C"/>
    <w:rsid w:val="363EC230"/>
    <w:rsid w:val="3679C0A7"/>
    <w:rsid w:val="3834FD20"/>
    <w:rsid w:val="388F5EDB"/>
    <w:rsid w:val="393354B8"/>
    <w:rsid w:val="393D6384"/>
    <w:rsid w:val="394B17C4"/>
    <w:rsid w:val="398A18DA"/>
    <w:rsid w:val="398EC335"/>
    <w:rsid w:val="39B1F5DF"/>
    <w:rsid w:val="39BD2274"/>
    <w:rsid w:val="39CBE280"/>
    <w:rsid w:val="39CC5BF4"/>
    <w:rsid w:val="3A46D043"/>
    <w:rsid w:val="3A8D767F"/>
    <w:rsid w:val="3A8F39D0"/>
    <w:rsid w:val="3AC88BD8"/>
    <w:rsid w:val="3B1FACB8"/>
    <w:rsid w:val="3B50A3A2"/>
    <w:rsid w:val="3C1C95D9"/>
    <w:rsid w:val="3C6415BE"/>
    <w:rsid w:val="3CBBC085"/>
    <w:rsid w:val="3D4D89DF"/>
    <w:rsid w:val="3D98AF82"/>
    <w:rsid w:val="3DA5A916"/>
    <w:rsid w:val="3E5220E4"/>
    <w:rsid w:val="3E6058DE"/>
    <w:rsid w:val="3F18616B"/>
    <w:rsid w:val="3F2FFBE7"/>
    <w:rsid w:val="3F419785"/>
    <w:rsid w:val="3F4ECD1E"/>
    <w:rsid w:val="3F9EBBCE"/>
    <w:rsid w:val="3FAFFDB9"/>
    <w:rsid w:val="3FFA2AAA"/>
    <w:rsid w:val="402A08DA"/>
    <w:rsid w:val="40968BA9"/>
    <w:rsid w:val="4100A263"/>
    <w:rsid w:val="412F0C71"/>
    <w:rsid w:val="4165EA0C"/>
    <w:rsid w:val="4168C68E"/>
    <w:rsid w:val="419C2CEA"/>
    <w:rsid w:val="41B8F915"/>
    <w:rsid w:val="4218B61F"/>
    <w:rsid w:val="421CBC0B"/>
    <w:rsid w:val="421D5942"/>
    <w:rsid w:val="430C4D89"/>
    <w:rsid w:val="430CC26D"/>
    <w:rsid w:val="430FC6AF"/>
    <w:rsid w:val="4357AD51"/>
    <w:rsid w:val="445541B1"/>
    <w:rsid w:val="445D1913"/>
    <w:rsid w:val="4460EA9F"/>
    <w:rsid w:val="446A90AB"/>
    <w:rsid w:val="448E43AF"/>
    <w:rsid w:val="449208D6"/>
    <w:rsid w:val="44E121C0"/>
    <w:rsid w:val="450AC99A"/>
    <w:rsid w:val="4595C715"/>
    <w:rsid w:val="45B20C68"/>
    <w:rsid w:val="45D41586"/>
    <w:rsid w:val="45D4332F"/>
    <w:rsid w:val="461532A7"/>
    <w:rsid w:val="46CD4C17"/>
    <w:rsid w:val="47BB7053"/>
    <w:rsid w:val="480A00DF"/>
    <w:rsid w:val="4852C24E"/>
    <w:rsid w:val="48C68AFB"/>
    <w:rsid w:val="48D329E3"/>
    <w:rsid w:val="498F7AAF"/>
    <w:rsid w:val="49C87C7F"/>
    <w:rsid w:val="49DB2983"/>
    <w:rsid w:val="4A6FFED8"/>
    <w:rsid w:val="4A7D0E27"/>
    <w:rsid w:val="4B8EDBB9"/>
    <w:rsid w:val="4C396523"/>
    <w:rsid w:val="4CA9BF5B"/>
    <w:rsid w:val="4D8A89A1"/>
    <w:rsid w:val="4D9F89B8"/>
    <w:rsid w:val="4DA033BF"/>
    <w:rsid w:val="4F221997"/>
    <w:rsid w:val="4F4F3171"/>
    <w:rsid w:val="4FC3FDDC"/>
    <w:rsid w:val="50217E06"/>
    <w:rsid w:val="50542CF2"/>
    <w:rsid w:val="509F9D49"/>
    <w:rsid w:val="50A64D72"/>
    <w:rsid w:val="50B339F3"/>
    <w:rsid w:val="50D41799"/>
    <w:rsid w:val="514F4DE2"/>
    <w:rsid w:val="515793B2"/>
    <w:rsid w:val="52AFF07F"/>
    <w:rsid w:val="52D9897A"/>
    <w:rsid w:val="530248F6"/>
    <w:rsid w:val="53292114"/>
    <w:rsid w:val="534EBD83"/>
    <w:rsid w:val="538CBC57"/>
    <w:rsid w:val="54986022"/>
    <w:rsid w:val="55ACC65A"/>
    <w:rsid w:val="55DF6CE6"/>
    <w:rsid w:val="570F7D76"/>
    <w:rsid w:val="57238709"/>
    <w:rsid w:val="5729D1B5"/>
    <w:rsid w:val="57BD90CD"/>
    <w:rsid w:val="5839A576"/>
    <w:rsid w:val="5900C43B"/>
    <w:rsid w:val="59891D86"/>
    <w:rsid w:val="598D827A"/>
    <w:rsid w:val="59F507D7"/>
    <w:rsid w:val="5A911EEE"/>
    <w:rsid w:val="5AA98EE8"/>
    <w:rsid w:val="5B449D57"/>
    <w:rsid w:val="5B8E325F"/>
    <w:rsid w:val="5BAAFA57"/>
    <w:rsid w:val="5BE47B29"/>
    <w:rsid w:val="5C309E14"/>
    <w:rsid w:val="5CB136AF"/>
    <w:rsid w:val="5CB28196"/>
    <w:rsid w:val="5D03C21A"/>
    <w:rsid w:val="5D41C2A1"/>
    <w:rsid w:val="5D4BE280"/>
    <w:rsid w:val="5D771D77"/>
    <w:rsid w:val="5DF054E9"/>
    <w:rsid w:val="5EC43379"/>
    <w:rsid w:val="5F9139DA"/>
    <w:rsid w:val="5F9B2188"/>
    <w:rsid w:val="5FB7DC3C"/>
    <w:rsid w:val="60370B7C"/>
    <w:rsid w:val="60B03623"/>
    <w:rsid w:val="60C35238"/>
    <w:rsid w:val="619CBA8D"/>
    <w:rsid w:val="61EED693"/>
    <w:rsid w:val="62340D94"/>
    <w:rsid w:val="6267D109"/>
    <w:rsid w:val="62D33422"/>
    <w:rsid w:val="62F75BAC"/>
    <w:rsid w:val="63517F26"/>
    <w:rsid w:val="63B373D2"/>
    <w:rsid w:val="643F50A9"/>
    <w:rsid w:val="64D06415"/>
    <w:rsid w:val="64E7437F"/>
    <w:rsid w:val="651F4222"/>
    <w:rsid w:val="6534D85E"/>
    <w:rsid w:val="65C24640"/>
    <w:rsid w:val="666D1B1B"/>
    <w:rsid w:val="66822AF8"/>
    <w:rsid w:val="668EAAB9"/>
    <w:rsid w:val="66AE5AC2"/>
    <w:rsid w:val="66CEEE50"/>
    <w:rsid w:val="66ED9DD4"/>
    <w:rsid w:val="66EEB790"/>
    <w:rsid w:val="67B5D9CB"/>
    <w:rsid w:val="67D0E11D"/>
    <w:rsid w:val="67F8C84B"/>
    <w:rsid w:val="67F8FD83"/>
    <w:rsid w:val="6975F1D0"/>
    <w:rsid w:val="69892C76"/>
    <w:rsid w:val="6995005F"/>
    <w:rsid w:val="6B4E1F47"/>
    <w:rsid w:val="6C865BFA"/>
    <w:rsid w:val="6CF9C527"/>
    <w:rsid w:val="6D07191C"/>
    <w:rsid w:val="6D2AA28E"/>
    <w:rsid w:val="6E503586"/>
    <w:rsid w:val="6E6CBF73"/>
    <w:rsid w:val="6E7757B3"/>
    <w:rsid w:val="6E96BE0F"/>
    <w:rsid w:val="6F08F937"/>
    <w:rsid w:val="6F3FACFE"/>
    <w:rsid w:val="70819C7C"/>
    <w:rsid w:val="70B1F38F"/>
    <w:rsid w:val="70FD9838"/>
    <w:rsid w:val="7186140F"/>
    <w:rsid w:val="7191F4BB"/>
    <w:rsid w:val="719D09B6"/>
    <w:rsid w:val="72105605"/>
    <w:rsid w:val="725BC45B"/>
    <w:rsid w:val="7265C924"/>
    <w:rsid w:val="73121A1C"/>
    <w:rsid w:val="73243EBE"/>
    <w:rsid w:val="7356C4B8"/>
    <w:rsid w:val="73F9EA5A"/>
    <w:rsid w:val="741D4446"/>
    <w:rsid w:val="7423396B"/>
    <w:rsid w:val="746EB9FF"/>
    <w:rsid w:val="74AFC8D5"/>
    <w:rsid w:val="75FD036B"/>
    <w:rsid w:val="769D2E7F"/>
    <w:rsid w:val="76CEDB82"/>
    <w:rsid w:val="772ADBDA"/>
    <w:rsid w:val="7790AABF"/>
    <w:rsid w:val="78267A0F"/>
    <w:rsid w:val="790ABF0E"/>
    <w:rsid w:val="795B68CE"/>
    <w:rsid w:val="79C42332"/>
    <w:rsid w:val="7A6E24C2"/>
    <w:rsid w:val="7AA56709"/>
    <w:rsid w:val="7ACC6BFE"/>
    <w:rsid w:val="7B0BEEC7"/>
    <w:rsid w:val="7B327B58"/>
    <w:rsid w:val="7B472016"/>
    <w:rsid w:val="7BEB0CBD"/>
    <w:rsid w:val="7BEC7F88"/>
    <w:rsid w:val="7C601DF3"/>
    <w:rsid w:val="7C796511"/>
    <w:rsid w:val="7C8966E1"/>
    <w:rsid w:val="7C93DCE6"/>
    <w:rsid w:val="7C986056"/>
    <w:rsid w:val="7CA212E1"/>
    <w:rsid w:val="7CFB93A9"/>
    <w:rsid w:val="7D2CD5F8"/>
    <w:rsid w:val="7DA439DE"/>
    <w:rsid w:val="7DF35816"/>
    <w:rsid w:val="7E8712F2"/>
    <w:rsid w:val="7EDB6E71"/>
    <w:rsid w:val="7EE7759B"/>
    <w:rsid w:val="7F3DFF64"/>
    <w:rsid w:val="7FB6CCAA"/>
    <w:rsid w:val="7FBDF426"/>
    <w:rsid w:val="7FBF05BA"/>
    <w:rsid w:val="7FD444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8ADAB2"/>
  <w14:defaultImageDpi w14:val="330"/>
  <w15:docId w15:val="{F0CEFD40-C779-4D40-B15F-4B2F6E150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7"/>
      </w:numPr>
      <w:contextualSpacing/>
    </w:pPr>
  </w:style>
  <w:style w:type="paragraph" w:styleId="ListBullet2">
    <w:name w:val="List Bullet 2"/>
    <w:basedOn w:val="Normal"/>
    <w:uiPriority w:val="99"/>
    <w:unhideWhenUsed/>
    <w:rsid w:val="00326F90"/>
    <w:pPr>
      <w:numPr>
        <w:numId w:val="43"/>
      </w:numPr>
      <w:contextualSpacing/>
    </w:pPr>
  </w:style>
  <w:style w:type="paragraph" w:styleId="ListBullet3">
    <w:name w:val="List Bullet 3"/>
    <w:basedOn w:val="Normal"/>
    <w:uiPriority w:val="99"/>
    <w:unhideWhenUsed/>
    <w:rsid w:val="00326F90"/>
    <w:pPr>
      <w:numPr>
        <w:numId w:val="83"/>
      </w:numPr>
      <w:contextualSpacing/>
    </w:pPr>
  </w:style>
  <w:style w:type="paragraph" w:styleId="ListNumber">
    <w:name w:val="List Number"/>
    <w:basedOn w:val="Normal"/>
    <w:uiPriority w:val="99"/>
    <w:unhideWhenUsed/>
    <w:rsid w:val="00326F90"/>
    <w:pPr>
      <w:numPr>
        <w:numId w:val="16"/>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2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D660C"/>
    <w:rPr>
      <w:color w:val="0000FF" w:themeColor="hyperlink"/>
      <w:u w:val="single"/>
    </w:rPr>
  </w:style>
  <w:style w:type="character" w:styleId="UnresolvedMention">
    <w:name w:val="Unresolved Mention"/>
    <w:basedOn w:val="DefaultParagraphFont"/>
    <w:uiPriority w:val="99"/>
    <w:semiHidden/>
    <w:unhideWhenUsed/>
    <w:rsid w:val="000D660C"/>
    <w:rPr>
      <w:color w:val="605E5C"/>
      <w:shd w:val="clear" w:color="auto" w:fill="E1DFDD"/>
    </w:rPr>
  </w:style>
  <w:style w:type="paragraph" w:customStyle="1" w:styleId="paragraph">
    <w:name w:val="paragraph"/>
    <w:basedOn w:val="Normal"/>
    <w:rsid w:val="00F96F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96F18"/>
  </w:style>
  <w:style w:type="character" w:customStyle="1" w:styleId="eop">
    <w:name w:val="eop"/>
    <w:basedOn w:val="DefaultParagraphFont"/>
    <w:rsid w:val="00F96F18"/>
  </w:style>
  <w:style w:type="character" w:styleId="CommentReference">
    <w:name w:val="annotation reference"/>
    <w:basedOn w:val="DefaultParagraphFont"/>
    <w:uiPriority w:val="99"/>
    <w:semiHidden/>
    <w:unhideWhenUsed/>
    <w:rsid w:val="003C2FB9"/>
    <w:rPr>
      <w:sz w:val="16"/>
      <w:szCs w:val="16"/>
    </w:rPr>
  </w:style>
  <w:style w:type="paragraph" w:styleId="CommentText">
    <w:name w:val="annotation text"/>
    <w:basedOn w:val="Normal"/>
    <w:link w:val="CommentTextChar"/>
    <w:uiPriority w:val="99"/>
    <w:unhideWhenUsed/>
    <w:rsid w:val="003C2FB9"/>
    <w:pPr>
      <w:spacing w:line="240" w:lineRule="auto"/>
    </w:pPr>
    <w:rPr>
      <w:sz w:val="20"/>
      <w:szCs w:val="20"/>
    </w:rPr>
  </w:style>
  <w:style w:type="character" w:customStyle="1" w:styleId="CommentTextChar">
    <w:name w:val="Comment Text Char"/>
    <w:basedOn w:val="DefaultParagraphFont"/>
    <w:link w:val="CommentText"/>
    <w:uiPriority w:val="99"/>
    <w:rsid w:val="003C2FB9"/>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C2FB9"/>
    <w:rPr>
      <w:b/>
      <w:bCs/>
    </w:rPr>
  </w:style>
  <w:style w:type="character" w:customStyle="1" w:styleId="CommentSubjectChar">
    <w:name w:val="Comment Subject Char"/>
    <w:basedOn w:val="CommentTextChar"/>
    <w:link w:val="CommentSubject"/>
    <w:uiPriority w:val="99"/>
    <w:semiHidden/>
    <w:rsid w:val="003C2FB9"/>
    <w:rPr>
      <w:rFonts w:ascii="Calibri" w:hAnsi="Calibri"/>
      <w:b/>
      <w:bCs/>
      <w:sz w:val="20"/>
      <w:szCs w:val="20"/>
    </w:rPr>
  </w:style>
  <w:style w:type="paragraph" w:styleId="TOC1">
    <w:name w:val="toc 1"/>
    <w:basedOn w:val="Normal"/>
    <w:next w:val="Normal"/>
    <w:uiPriority w:val="39"/>
    <w:unhideWhenUsed/>
    <w:rsid w:val="2420DED4"/>
    <w:pPr>
      <w:spacing w:after="100"/>
    </w:pPr>
  </w:style>
  <w:style w:type="paragraph" w:styleId="TOC2">
    <w:name w:val="toc 2"/>
    <w:basedOn w:val="Normal"/>
    <w:next w:val="Normal"/>
    <w:uiPriority w:val="39"/>
    <w:unhideWhenUsed/>
    <w:rsid w:val="2420DED4"/>
    <w:pPr>
      <w:spacing w:after="100"/>
      <w:ind w:left="220"/>
    </w:pPr>
  </w:style>
  <w:style w:type="paragraph" w:styleId="TOC3">
    <w:name w:val="toc 3"/>
    <w:basedOn w:val="Normal"/>
    <w:next w:val="Normal"/>
    <w:uiPriority w:val="39"/>
    <w:unhideWhenUsed/>
    <w:rsid w:val="226BB21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ccme.org/requirements/accreditation-requirements-cme-providers/policies-and-definitions/joint-providership" TargetMode="External"/><Relationship Id="rId18" Type="http://schemas.openxmlformats.org/officeDocument/2006/relationships/hyperlink" Target="https://northwestern.cloud-cme.com/" TargetMode="External"/><Relationship Id="rId26" Type="http://schemas.openxmlformats.org/officeDocument/2006/relationships/hyperlink" Target="https://northwestern.cloud-cme.com/content/activityplanning" TargetMode="External"/><Relationship Id="rId39" Type="http://schemas.openxmlformats.org/officeDocument/2006/relationships/hyperlink" Target="https://www.accme.org/faq/10236" TargetMode="External"/><Relationship Id="rId21" Type="http://schemas.openxmlformats.org/officeDocument/2006/relationships/hyperlink" Target="https://northwestern.cloud-cme.com/content/development" TargetMode="External"/><Relationship Id="rId34" Type="http://schemas.openxmlformats.org/officeDocument/2006/relationships/hyperlink" Target="https://northwestern.cloud-cme.com/default.aspx?p=1200" TargetMode="External"/><Relationship Id="rId42" Type="http://schemas.openxmlformats.org/officeDocument/2006/relationships/hyperlink" Target="https://northwestern.cloud-cme.com/content/untitled-4eed8" TargetMode="External"/><Relationship Id="rId47" Type="http://schemas.openxmlformats.org/officeDocument/2006/relationships/hyperlink" Target="https://northwestern.cloud-cme.com/assets/northwestern/PDF/HoldHarmlessExhibitorTemplate.doc" TargetMode="External"/><Relationship Id="rId50" Type="http://schemas.openxmlformats.org/officeDocument/2006/relationships/hyperlink" Target="https://northwestern.cloud-cme.com/" TargetMode="External"/><Relationship Id="rId55" Type="http://schemas.openxmlformats.org/officeDocument/2006/relationships/hyperlink" Target="https://www.feinberg.northwestern.edu/sites/dme/docs/disclosure-slides.pptx"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accme.org/wp-content/uploads/2024/06/1038_20240514_Funding_Playbook.pdf" TargetMode="External"/><Relationship Id="rId29" Type="http://schemas.openxmlformats.org/officeDocument/2006/relationships/hyperlink" Target="https://www.accme.org/accreditation-rules/standards-for-integrity-independence-accredited-ce/eligibility" TargetMode="External"/><Relationship Id="rId11" Type="http://schemas.openxmlformats.org/officeDocument/2006/relationships/hyperlink" Target="mailto:cme@northwestern.edu" TargetMode="External"/><Relationship Id="rId24" Type="http://schemas.openxmlformats.org/officeDocument/2006/relationships/hyperlink" Target="https://northwestern.cloud-cme.com/Form.aspx?FormID=1290" TargetMode="External"/><Relationship Id="rId32" Type="http://schemas.openxmlformats.org/officeDocument/2006/relationships/hyperlink" Target="https://accme.org/rule/identify-mitigate-and-disclose-relevant-financial-relationships/" TargetMode="External"/><Relationship Id="rId37" Type="http://schemas.openxmlformats.org/officeDocument/2006/relationships/hyperlink" Target="https://northwestern.cloud-cme.com/content/untitled-9a029" TargetMode="External"/><Relationship Id="rId40" Type="http://schemas.openxmlformats.org/officeDocument/2006/relationships/hyperlink" Target="https://www.accme.org/faq/10236" TargetMode="External"/><Relationship Id="rId45" Type="http://schemas.openxmlformats.org/officeDocument/2006/relationships/hyperlink" Target="mailto:fsm-compliance@northwestern.edu" TargetMode="External"/><Relationship Id="rId53" Type="http://schemas.openxmlformats.org/officeDocument/2006/relationships/hyperlink" Target="https://northwestern.cloud-cme.com/assets/northwestern/PDF/HoldHarmlessExhibitorTemplate.doc" TargetMode="External"/><Relationship Id="rId58" Type="http://schemas.openxmlformats.org/officeDocument/2006/relationships/footer" Target="footer1.xml"/><Relationship Id="rId5" Type="http://schemas.openxmlformats.org/officeDocument/2006/relationships/numbering" Target="numbering.xml"/><Relationship Id="rId19" Type="http://schemas.openxmlformats.org/officeDocument/2006/relationships/hyperlink" Target="https://northwestern.cloud-cme.com/content/activityplann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northwestern.cloud-cme.com/Form.aspx?FormID=1290" TargetMode="External"/><Relationship Id="rId27" Type="http://schemas.openxmlformats.org/officeDocument/2006/relationships/hyperlink" Target="https://northwestern.cloud-cme.com/content/activityplanning" TargetMode="External"/><Relationship Id="rId30" Type="http://schemas.openxmlformats.org/officeDocument/2006/relationships/hyperlink" Target="https://northwestern.cloud-cme.com/content/activityplanning" TargetMode="External"/><Relationship Id="rId35" Type="http://schemas.openxmlformats.org/officeDocument/2006/relationships/hyperlink" Target="https://www.feinberg.northwestern.edu/sites/dme/docs/disclosure-slides.pptx" TargetMode="External"/><Relationship Id="rId43" Type="http://schemas.openxmlformats.org/officeDocument/2006/relationships/hyperlink" Target="https://accme.org/rule/manage-commercial-support-appropriately/" TargetMode="External"/><Relationship Id="rId48" Type="http://schemas.openxmlformats.org/officeDocument/2006/relationships/hyperlink" Target="https://northwestern.cloud-cme.com/assets/northwestern/PDF/HoldHarmlessVirtualExhibitorTemplate.doc" TargetMode="External"/><Relationship Id="rId56" Type="http://schemas.openxmlformats.org/officeDocument/2006/relationships/hyperlink" Target="http://accme.org/rules/standards/" TargetMode="External"/><Relationship Id="rId8" Type="http://schemas.openxmlformats.org/officeDocument/2006/relationships/webSettings" Target="webSettings.xml"/><Relationship Id="rId51" Type="http://schemas.openxmlformats.org/officeDocument/2006/relationships/hyperlink" Target="https://northwestern.cloud-cme.com/about/resources?p=1200" TargetMode="External"/><Relationship Id="rId3" Type="http://schemas.openxmlformats.org/officeDocument/2006/relationships/customXml" Target="../customXml/item3.xml"/><Relationship Id="rId12" Type="http://schemas.openxmlformats.org/officeDocument/2006/relationships/hyperlink" Target="http://accme.org/rules/standards/" TargetMode="External"/><Relationship Id="rId17" Type="http://schemas.openxmlformats.org/officeDocument/2006/relationships/hyperlink" Target="https://../../assets/northwestern/PDF/SpeakerGuidelines2026.doc" TargetMode="External"/><Relationship Id="rId25" Type="http://schemas.openxmlformats.org/officeDocument/2006/relationships/hyperlink" Target="https://../../assets/northwestern/PDF/2020PlanningValidationForm.docx" TargetMode="External"/><Relationship Id="rId33" Type="http://schemas.openxmlformats.org/officeDocument/2006/relationships/hyperlink" Target="mailto:cme@northwestern.edu" TargetMode="External"/><Relationship Id="rId38" Type="http://schemas.openxmlformats.org/officeDocument/2006/relationships/hyperlink" Target="https://northwestern.cloud-cme.com/content/development" TargetMode="External"/><Relationship Id="rId46" Type="http://schemas.openxmlformats.org/officeDocument/2006/relationships/hyperlink" Target="https://accme.org/rule/manage-ancillary-activities-offered-in-conjunction-with-accredited-continuing-education/" TargetMode="External"/><Relationship Id="rId59" Type="http://schemas.openxmlformats.org/officeDocument/2006/relationships/fontTable" Target="fontTable.xml"/><Relationship Id="rId20" Type="http://schemas.openxmlformats.org/officeDocument/2006/relationships/hyperlink" Target="http://www.cme.northwestern.edu/" TargetMode="External"/><Relationship Id="rId41" Type="http://schemas.openxmlformats.org/officeDocument/2006/relationships/hyperlink" Target="https://openpaymentsdata.cms.gov/" TargetMode="External"/><Relationship Id="rId54" Type="http://schemas.openxmlformats.org/officeDocument/2006/relationships/hyperlink" Target="https://northwestern.cloud-cme.com/assets/northwestern/PDF/HoldHarmlessVirtualExhibitorTemplate.doc"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northwestern.cloud-cme.com/content/development" TargetMode="External"/><Relationship Id="rId23" Type="http://schemas.openxmlformats.org/officeDocument/2006/relationships/hyperlink" Target="https://northwestern.cloud-cme.com/content/activityplanning" TargetMode="External"/><Relationship Id="rId28" Type="http://schemas.openxmlformats.org/officeDocument/2006/relationships/hyperlink" Target="https://www.accme.org/accreditation-rules/standards-for-integrity-independence-accredited-ce/standard-3-identify-mitigate-and-disclose-relevant-financial-relationships" TargetMode="External"/><Relationship Id="rId36" Type="http://schemas.openxmlformats.org/officeDocument/2006/relationships/hyperlink" Target="https://northwestern.cloud-cme.com/content/development" TargetMode="External"/><Relationship Id="rId49" Type="http://schemas.openxmlformats.org/officeDocument/2006/relationships/hyperlink" Target="https://www.northwestern.edu/procurement/docs/travel-entertainment-policy.pdf" TargetMode="External"/><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hyperlink" Target="https://northwestern.cloud-cme.com/Form.aspx?FormID=1290" TargetMode="External"/><Relationship Id="rId44" Type="http://schemas.openxmlformats.org/officeDocument/2006/relationships/hyperlink" Target="https://www.feinberg.northwestern.edu/compliance/policies/index.html" TargetMode="External"/><Relationship Id="rId52" Type="http://schemas.openxmlformats.org/officeDocument/2006/relationships/hyperlink" Target="https://northwestern.cloud-cme.com/Form.aspx?FormID=1290"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5d8613cd-5436-4e02-9fde-e2cec2173a93" xsi:nil="true"/>
    <TaxCatchAll xmlns="4fe14706-3c7e-4dbe-ac69-35c9187728d5" xsi:nil="true"/>
    <lcf76f155ced4ddcb4097134ff3c332f xmlns="5d8613cd-5436-4e02-9fde-e2cec2173a9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B385AA90A35F046A2A1588D2F1F4B8D" ma:contentTypeVersion="15" ma:contentTypeDescription="Create a new document." ma:contentTypeScope="" ma:versionID="af4f1e3dd043ab6cd4a3df1056ef6212">
  <xsd:schema xmlns:xsd="http://www.w3.org/2001/XMLSchema" xmlns:xs="http://www.w3.org/2001/XMLSchema" xmlns:p="http://schemas.microsoft.com/office/2006/metadata/properties" xmlns:ns2="5d8613cd-5436-4e02-9fde-e2cec2173a93" xmlns:ns3="4fe14706-3c7e-4dbe-ac69-35c9187728d5" targetNamespace="http://schemas.microsoft.com/office/2006/metadata/properties" ma:root="true" ma:fieldsID="6d2ed085a28dfb30cf0df02fa2ee52b7" ns2:_="" ns3:_="">
    <xsd:import namespace="5d8613cd-5436-4e02-9fde-e2cec2173a93"/>
    <xsd:import namespace="4fe14706-3c7e-4dbe-ac69-35c9187728d5"/>
    <xsd:element name="properties">
      <xsd:complexType>
        <xsd:sequence>
          <xsd:element name="documentManagement">
            <xsd:complexType>
              <xsd:all>
                <xsd:element ref="ns2:MediaServiceMetadata" minOccurs="0"/>
                <xsd:element ref="ns2:MediaServiceFastMetadata" minOccurs="0"/>
                <xsd:element ref="ns2:Comments"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613cd-5436-4e02-9fde-e2cec2173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s" ma:index="10" nillable="true" ma:displayName="Comments" ma:format="Dropdown" ma:internalName="Comments">
      <xsd:simpleType>
        <xsd:restriction base="dms:Text">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d55d72-5afa-45f9-90b6-e0708aeee9a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14706-3c7e-4dbe-ac69-35c9187728d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c2cc36e-8a6b-4e5e-903a-11d4e02071db}" ma:internalName="TaxCatchAll" ma:showField="CatchAllData" ma:web="4fe14706-3c7e-4dbe-ac69-35c9187728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92F60-67C3-4439-8999-C4064FC71D44}">
  <ds:schemaRefs>
    <ds:schemaRef ds:uri="http://schemas.microsoft.com/office/2006/metadata/properties"/>
    <ds:schemaRef ds:uri="http://schemas.microsoft.com/office/infopath/2007/PartnerControls"/>
    <ds:schemaRef ds:uri="5d8613cd-5436-4e02-9fde-e2cec2173a93"/>
    <ds:schemaRef ds:uri="4fe14706-3c7e-4dbe-ac69-35c9187728d5"/>
  </ds:schemaRefs>
</ds:datastoreItem>
</file>

<file path=customXml/itemProps2.xml><?xml version="1.0" encoding="utf-8"?>
<ds:datastoreItem xmlns:ds="http://schemas.openxmlformats.org/officeDocument/2006/customXml" ds:itemID="{511A7601-1BEA-485E-A3DF-7D6E18CB830A}">
  <ds:schemaRefs>
    <ds:schemaRef ds:uri="http://schemas.openxmlformats.org/officeDocument/2006/bibliography"/>
  </ds:schemaRefs>
</ds:datastoreItem>
</file>

<file path=customXml/itemProps3.xml><?xml version="1.0" encoding="utf-8"?>
<ds:datastoreItem xmlns:ds="http://schemas.openxmlformats.org/officeDocument/2006/customXml" ds:itemID="{451581FB-FA30-4304-87A2-4EB66C78BA2B}">
  <ds:schemaRefs>
    <ds:schemaRef ds:uri="http://schemas.microsoft.com/sharepoint/v3/contenttype/forms"/>
  </ds:schemaRefs>
</ds:datastoreItem>
</file>

<file path=customXml/itemProps4.xml><?xml version="1.0" encoding="utf-8"?>
<ds:datastoreItem xmlns:ds="http://schemas.openxmlformats.org/officeDocument/2006/customXml" ds:itemID="{68FE1EE5-F98F-4904-B5AC-14E690BF7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613cd-5436-4e02-9fde-e2cec2173a93"/>
    <ds:schemaRef ds:uri="4fe14706-3c7e-4dbe-ac69-35c9187728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27</Pages>
  <Words>8225</Words>
  <Characters>46889</Characters>
  <Application>Microsoft Office Word</Application>
  <DocSecurity>0</DocSecurity>
  <Lines>390</Lines>
  <Paragraphs>110</Paragraphs>
  <ScaleCrop>false</ScaleCrop>
  <Manager/>
  <Company/>
  <LinksUpToDate>false</LinksUpToDate>
  <CharactersWithSpaces>55004</CharactersWithSpaces>
  <SharedDoc>false</SharedDoc>
  <HyperlinkBase/>
  <HLinks>
    <vt:vector size="912" baseType="variant">
      <vt:variant>
        <vt:i4>6160468</vt:i4>
      </vt:variant>
      <vt:variant>
        <vt:i4>783</vt:i4>
      </vt:variant>
      <vt:variant>
        <vt:i4>0</vt:i4>
      </vt:variant>
      <vt:variant>
        <vt:i4>5</vt:i4>
      </vt:variant>
      <vt:variant>
        <vt:lpwstr>http://accme.org/rules/standards/</vt:lpwstr>
      </vt:variant>
      <vt:variant>
        <vt:lpwstr/>
      </vt:variant>
      <vt:variant>
        <vt:i4>6684796</vt:i4>
      </vt:variant>
      <vt:variant>
        <vt:i4>780</vt:i4>
      </vt:variant>
      <vt:variant>
        <vt:i4>0</vt:i4>
      </vt:variant>
      <vt:variant>
        <vt:i4>5</vt:i4>
      </vt:variant>
      <vt:variant>
        <vt:lpwstr>https://www.feinberg.northwestern.edu/sites/dme/docs/disclosure-slides.pptx</vt:lpwstr>
      </vt:variant>
      <vt:variant>
        <vt:lpwstr/>
      </vt:variant>
      <vt:variant>
        <vt:i4>6619177</vt:i4>
      </vt:variant>
      <vt:variant>
        <vt:i4>777</vt:i4>
      </vt:variant>
      <vt:variant>
        <vt:i4>0</vt:i4>
      </vt:variant>
      <vt:variant>
        <vt:i4>5</vt:i4>
      </vt:variant>
      <vt:variant>
        <vt:lpwstr>https://northwestern.cloud-cme.com/assets/northwestern/PDF/HoldHarmlessVirtualExhibitorTemplate.doc</vt:lpwstr>
      </vt:variant>
      <vt:variant>
        <vt:lpwstr/>
      </vt:variant>
      <vt:variant>
        <vt:i4>5242910</vt:i4>
      </vt:variant>
      <vt:variant>
        <vt:i4>774</vt:i4>
      </vt:variant>
      <vt:variant>
        <vt:i4>0</vt:i4>
      </vt:variant>
      <vt:variant>
        <vt:i4>5</vt:i4>
      </vt:variant>
      <vt:variant>
        <vt:lpwstr>https://northwestern.cloud-cme.com/assets/northwestern/PDF/HoldHarmlessExhibitorTemplate.doc</vt:lpwstr>
      </vt:variant>
      <vt:variant>
        <vt:lpwstr/>
      </vt:variant>
      <vt:variant>
        <vt:i4>1441804</vt:i4>
      </vt:variant>
      <vt:variant>
        <vt:i4>771</vt:i4>
      </vt:variant>
      <vt:variant>
        <vt:i4>0</vt:i4>
      </vt:variant>
      <vt:variant>
        <vt:i4>5</vt:i4>
      </vt:variant>
      <vt:variant>
        <vt:lpwstr>https://northwestern.cloud-cme.com/Form.aspx?FormID=1290</vt:lpwstr>
      </vt:variant>
      <vt:variant>
        <vt:lpwstr/>
      </vt:variant>
      <vt:variant>
        <vt:i4>655451</vt:i4>
      </vt:variant>
      <vt:variant>
        <vt:i4>768</vt:i4>
      </vt:variant>
      <vt:variant>
        <vt:i4>0</vt:i4>
      </vt:variant>
      <vt:variant>
        <vt:i4>5</vt:i4>
      </vt:variant>
      <vt:variant>
        <vt:lpwstr>https://northwestern.cloud-cme.com/about/resources?p=1200</vt:lpwstr>
      </vt:variant>
      <vt:variant>
        <vt:lpwstr/>
      </vt:variant>
      <vt:variant>
        <vt:i4>6619233</vt:i4>
      </vt:variant>
      <vt:variant>
        <vt:i4>765</vt:i4>
      </vt:variant>
      <vt:variant>
        <vt:i4>0</vt:i4>
      </vt:variant>
      <vt:variant>
        <vt:i4>5</vt:i4>
      </vt:variant>
      <vt:variant>
        <vt:lpwstr>https://northwestern.cloud-cme.com/</vt:lpwstr>
      </vt:variant>
      <vt:variant>
        <vt:lpwstr/>
      </vt:variant>
      <vt:variant>
        <vt:i4>5898251</vt:i4>
      </vt:variant>
      <vt:variant>
        <vt:i4>762</vt:i4>
      </vt:variant>
      <vt:variant>
        <vt:i4>0</vt:i4>
      </vt:variant>
      <vt:variant>
        <vt:i4>5</vt:i4>
      </vt:variant>
      <vt:variant>
        <vt:lpwstr>https://www.northwestern.edu/procurement/docs/travel-entertainment-policy.pdf</vt:lpwstr>
      </vt:variant>
      <vt:variant>
        <vt:lpwstr/>
      </vt:variant>
      <vt:variant>
        <vt:i4>6619177</vt:i4>
      </vt:variant>
      <vt:variant>
        <vt:i4>759</vt:i4>
      </vt:variant>
      <vt:variant>
        <vt:i4>0</vt:i4>
      </vt:variant>
      <vt:variant>
        <vt:i4>5</vt:i4>
      </vt:variant>
      <vt:variant>
        <vt:lpwstr>https://northwestern.cloud-cme.com/assets/northwestern/PDF/HoldHarmlessVirtualExhibitorTemplate.doc</vt:lpwstr>
      </vt:variant>
      <vt:variant>
        <vt:lpwstr/>
      </vt:variant>
      <vt:variant>
        <vt:i4>5242910</vt:i4>
      </vt:variant>
      <vt:variant>
        <vt:i4>756</vt:i4>
      </vt:variant>
      <vt:variant>
        <vt:i4>0</vt:i4>
      </vt:variant>
      <vt:variant>
        <vt:i4>5</vt:i4>
      </vt:variant>
      <vt:variant>
        <vt:lpwstr>https://northwestern.cloud-cme.com/assets/northwestern/PDF/HoldHarmlessExhibitorTemplate.doc</vt:lpwstr>
      </vt:variant>
      <vt:variant>
        <vt:lpwstr/>
      </vt:variant>
      <vt:variant>
        <vt:i4>3407982</vt:i4>
      </vt:variant>
      <vt:variant>
        <vt:i4>753</vt:i4>
      </vt:variant>
      <vt:variant>
        <vt:i4>0</vt:i4>
      </vt:variant>
      <vt:variant>
        <vt:i4>5</vt:i4>
      </vt:variant>
      <vt:variant>
        <vt:lpwstr>https://accme.org/rule/manage-ancillary-activities-offered-in-conjunction-with-accredited-continuing-education/</vt:lpwstr>
      </vt:variant>
      <vt:variant>
        <vt:lpwstr/>
      </vt:variant>
      <vt:variant>
        <vt:i4>5046324</vt:i4>
      </vt:variant>
      <vt:variant>
        <vt:i4>750</vt:i4>
      </vt:variant>
      <vt:variant>
        <vt:i4>0</vt:i4>
      </vt:variant>
      <vt:variant>
        <vt:i4>5</vt:i4>
      </vt:variant>
      <vt:variant>
        <vt:lpwstr>mailto:fsm-compliance@northwestern.edu</vt:lpwstr>
      </vt:variant>
      <vt:variant>
        <vt:lpwstr/>
      </vt:variant>
      <vt:variant>
        <vt:i4>4587606</vt:i4>
      </vt:variant>
      <vt:variant>
        <vt:i4>747</vt:i4>
      </vt:variant>
      <vt:variant>
        <vt:i4>0</vt:i4>
      </vt:variant>
      <vt:variant>
        <vt:i4>5</vt:i4>
      </vt:variant>
      <vt:variant>
        <vt:lpwstr>https://www.feinberg.northwestern.edu/compliance/policies/index.html</vt:lpwstr>
      </vt:variant>
      <vt:variant>
        <vt:lpwstr/>
      </vt:variant>
      <vt:variant>
        <vt:i4>2687078</vt:i4>
      </vt:variant>
      <vt:variant>
        <vt:i4>744</vt:i4>
      </vt:variant>
      <vt:variant>
        <vt:i4>0</vt:i4>
      </vt:variant>
      <vt:variant>
        <vt:i4>5</vt:i4>
      </vt:variant>
      <vt:variant>
        <vt:lpwstr>https://accme.org/rule/manage-commercial-support-appropriately/</vt:lpwstr>
      </vt:variant>
      <vt:variant>
        <vt:lpwstr/>
      </vt:variant>
      <vt:variant>
        <vt:i4>4522058</vt:i4>
      </vt:variant>
      <vt:variant>
        <vt:i4>741</vt:i4>
      </vt:variant>
      <vt:variant>
        <vt:i4>0</vt:i4>
      </vt:variant>
      <vt:variant>
        <vt:i4>5</vt:i4>
      </vt:variant>
      <vt:variant>
        <vt:lpwstr>https://northwestern.cloud-cme.com/content/untitled-4eed8</vt:lpwstr>
      </vt:variant>
      <vt:variant>
        <vt:lpwstr/>
      </vt:variant>
      <vt:variant>
        <vt:i4>2031680</vt:i4>
      </vt:variant>
      <vt:variant>
        <vt:i4>738</vt:i4>
      </vt:variant>
      <vt:variant>
        <vt:i4>0</vt:i4>
      </vt:variant>
      <vt:variant>
        <vt:i4>5</vt:i4>
      </vt:variant>
      <vt:variant>
        <vt:lpwstr>https://openpaymentsdata.cms.gov/</vt:lpwstr>
      </vt:variant>
      <vt:variant>
        <vt:lpwstr/>
      </vt:variant>
      <vt:variant>
        <vt:i4>7864379</vt:i4>
      </vt:variant>
      <vt:variant>
        <vt:i4>735</vt:i4>
      </vt:variant>
      <vt:variant>
        <vt:i4>0</vt:i4>
      </vt:variant>
      <vt:variant>
        <vt:i4>5</vt:i4>
      </vt:variant>
      <vt:variant>
        <vt:lpwstr>https://www.accme.org/faq/10236</vt:lpwstr>
      </vt:variant>
      <vt:variant>
        <vt:lpwstr/>
      </vt:variant>
      <vt:variant>
        <vt:i4>7864379</vt:i4>
      </vt:variant>
      <vt:variant>
        <vt:i4>732</vt:i4>
      </vt:variant>
      <vt:variant>
        <vt:i4>0</vt:i4>
      </vt:variant>
      <vt:variant>
        <vt:i4>5</vt:i4>
      </vt:variant>
      <vt:variant>
        <vt:lpwstr>https://www.accme.org/faq/10236</vt:lpwstr>
      </vt:variant>
      <vt:variant>
        <vt:lpwstr/>
      </vt:variant>
      <vt:variant>
        <vt:i4>6684792</vt:i4>
      </vt:variant>
      <vt:variant>
        <vt:i4>729</vt:i4>
      </vt:variant>
      <vt:variant>
        <vt:i4>0</vt:i4>
      </vt:variant>
      <vt:variant>
        <vt:i4>5</vt:i4>
      </vt:variant>
      <vt:variant>
        <vt:lpwstr>https://northwestern.cloud-cme.com/content/development</vt:lpwstr>
      </vt:variant>
      <vt:variant>
        <vt:lpwstr/>
      </vt:variant>
      <vt:variant>
        <vt:i4>1507346</vt:i4>
      </vt:variant>
      <vt:variant>
        <vt:i4>726</vt:i4>
      </vt:variant>
      <vt:variant>
        <vt:i4>0</vt:i4>
      </vt:variant>
      <vt:variant>
        <vt:i4>5</vt:i4>
      </vt:variant>
      <vt:variant>
        <vt:lpwstr>https://northwestern.cloud-cme.com/content/untitled-9a029</vt:lpwstr>
      </vt:variant>
      <vt:variant>
        <vt:lpwstr/>
      </vt:variant>
      <vt:variant>
        <vt:i4>6684796</vt:i4>
      </vt:variant>
      <vt:variant>
        <vt:i4>723</vt:i4>
      </vt:variant>
      <vt:variant>
        <vt:i4>0</vt:i4>
      </vt:variant>
      <vt:variant>
        <vt:i4>5</vt:i4>
      </vt:variant>
      <vt:variant>
        <vt:lpwstr>https://www.feinberg.northwestern.edu/sites/dme/docs/disclosure-slides.pptx</vt:lpwstr>
      </vt:variant>
      <vt:variant>
        <vt:lpwstr/>
      </vt:variant>
      <vt:variant>
        <vt:i4>7798898</vt:i4>
      </vt:variant>
      <vt:variant>
        <vt:i4>720</vt:i4>
      </vt:variant>
      <vt:variant>
        <vt:i4>0</vt:i4>
      </vt:variant>
      <vt:variant>
        <vt:i4>5</vt:i4>
      </vt:variant>
      <vt:variant>
        <vt:lpwstr>https://northwestern.cloud-cme.com/default.aspx?p=1200</vt:lpwstr>
      </vt:variant>
      <vt:variant>
        <vt:lpwstr/>
      </vt:variant>
      <vt:variant>
        <vt:i4>3735574</vt:i4>
      </vt:variant>
      <vt:variant>
        <vt:i4>717</vt:i4>
      </vt:variant>
      <vt:variant>
        <vt:i4>0</vt:i4>
      </vt:variant>
      <vt:variant>
        <vt:i4>5</vt:i4>
      </vt:variant>
      <vt:variant>
        <vt:lpwstr>mailto:cme@northwestern.edu</vt:lpwstr>
      </vt:variant>
      <vt:variant>
        <vt:lpwstr/>
      </vt:variant>
      <vt:variant>
        <vt:i4>7405687</vt:i4>
      </vt:variant>
      <vt:variant>
        <vt:i4>714</vt:i4>
      </vt:variant>
      <vt:variant>
        <vt:i4>0</vt:i4>
      </vt:variant>
      <vt:variant>
        <vt:i4>5</vt:i4>
      </vt:variant>
      <vt:variant>
        <vt:lpwstr>https://accme.org/rule/identify-mitigate-and-disclose-relevant-financial-relationships/</vt:lpwstr>
      </vt:variant>
      <vt:variant>
        <vt:lpwstr/>
      </vt:variant>
      <vt:variant>
        <vt:i4>1441804</vt:i4>
      </vt:variant>
      <vt:variant>
        <vt:i4>711</vt:i4>
      </vt:variant>
      <vt:variant>
        <vt:i4>0</vt:i4>
      </vt:variant>
      <vt:variant>
        <vt:i4>5</vt:i4>
      </vt:variant>
      <vt:variant>
        <vt:lpwstr>https://northwestern.cloud-cme.com/Form.aspx?FormID=1290</vt:lpwstr>
      </vt:variant>
      <vt:variant>
        <vt:lpwstr/>
      </vt:variant>
      <vt:variant>
        <vt:i4>8323173</vt:i4>
      </vt:variant>
      <vt:variant>
        <vt:i4>708</vt:i4>
      </vt:variant>
      <vt:variant>
        <vt:i4>0</vt:i4>
      </vt:variant>
      <vt:variant>
        <vt:i4>5</vt:i4>
      </vt:variant>
      <vt:variant>
        <vt:lpwstr>https://northwestern.cloud-cme.com/content/activityplanning</vt:lpwstr>
      </vt:variant>
      <vt:variant>
        <vt:lpwstr/>
      </vt:variant>
      <vt:variant>
        <vt:i4>5439555</vt:i4>
      </vt:variant>
      <vt:variant>
        <vt:i4>705</vt:i4>
      </vt:variant>
      <vt:variant>
        <vt:i4>0</vt:i4>
      </vt:variant>
      <vt:variant>
        <vt:i4>5</vt:i4>
      </vt:variant>
      <vt:variant>
        <vt:lpwstr>https://www.accme.org/accreditation-rules/standards-for-integrity-independence-accredited-ce/eligibility</vt:lpwstr>
      </vt:variant>
      <vt:variant>
        <vt:lpwstr/>
      </vt:variant>
      <vt:variant>
        <vt:i4>2228320</vt:i4>
      </vt:variant>
      <vt:variant>
        <vt:i4>702</vt:i4>
      </vt:variant>
      <vt:variant>
        <vt:i4>0</vt:i4>
      </vt:variant>
      <vt:variant>
        <vt:i4>5</vt:i4>
      </vt:variant>
      <vt:variant>
        <vt:lpwstr>https://www.accme.org/accreditation-rules/standards-for-integrity-independence-accredited-ce/standard-3-identify-mitigate-and-disclose-relevant-financial-relationships</vt:lpwstr>
      </vt:variant>
      <vt:variant>
        <vt:lpwstr/>
      </vt:variant>
      <vt:variant>
        <vt:i4>2555909</vt:i4>
      </vt:variant>
      <vt:variant>
        <vt:i4>695</vt:i4>
      </vt:variant>
      <vt:variant>
        <vt:i4>0</vt:i4>
      </vt:variant>
      <vt:variant>
        <vt:i4>5</vt:i4>
      </vt:variant>
      <vt:variant>
        <vt:lpwstr/>
      </vt:variant>
      <vt:variant>
        <vt:lpwstr>_Toc2103562004</vt:lpwstr>
      </vt:variant>
      <vt:variant>
        <vt:i4>2949128</vt:i4>
      </vt:variant>
      <vt:variant>
        <vt:i4>689</vt:i4>
      </vt:variant>
      <vt:variant>
        <vt:i4>0</vt:i4>
      </vt:variant>
      <vt:variant>
        <vt:i4>5</vt:i4>
      </vt:variant>
      <vt:variant>
        <vt:lpwstr/>
      </vt:variant>
      <vt:variant>
        <vt:lpwstr>_Toc2142691292</vt:lpwstr>
      </vt:variant>
      <vt:variant>
        <vt:i4>1769530</vt:i4>
      </vt:variant>
      <vt:variant>
        <vt:i4>683</vt:i4>
      </vt:variant>
      <vt:variant>
        <vt:i4>0</vt:i4>
      </vt:variant>
      <vt:variant>
        <vt:i4>5</vt:i4>
      </vt:variant>
      <vt:variant>
        <vt:lpwstr/>
      </vt:variant>
      <vt:variant>
        <vt:lpwstr>_Toc885115604</vt:lpwstr>
      </vt:variant>
      <vt:variant>
        <vt:i4>3080199</vt:i4>
      </vt:variant>
      <vt:variant>
        <vt:i4>677</vt:i4>
      </vt:variant>
      <vt:variant>
        <vt:i4>0</vt:i4>
      </vt:variant>
      <vt:variant>
        <vt:i4>5</vt:i4>
      </vt:variant>
      <vt:variant>
        <vt:lpwstr/>
      </vt:variant>
      <vt:variant>
        <vt:lpwstr>_Toc1652461268</vt:lpwstr>
      </vt:variant>
      <vt:variant>
        <vt:i4>3014660</vt:i4>
      </vt:variant>
      <vt:variant>
        <vt:i4>671</vt:i4>
      </vt:variant>
      <vt:variant>
        <vt:i4>0</vt:i4>
      </vt:variant>
      <vt:variant>
        <vt:i4>5</vt:i4>
      </vt:variant>
      <vt:variant>
        <vt:lpwstr/>
      </vt:variant>
      <vt:variant>
        <vt:lpwstr>_Toc1284944803</vt:lpwstr>
      </vt:variant>
      <vt:variant>
        <vt:i4>2883596</vt:i4>
      </vt:variant>
      <vt:variant>
        <vt:i4>665</vt:i4>
      </vt:variant>
      <vt:variant>
        <vt:i4>0</vt:i4>
      </vt:variant>
      <vt:variant>
        <vt:i4>5</vt:i4>
      </vt:variant>
      <vt:variant>
        <vt:lpwstr/>
      </vt:variant>
      <vt:variant>
        <vt:lpwstr>_Toc1318836320</vt:lpwstr>
      </vt:variant>
      <vt:variant>
        <vt:i4>2883590</vt:i4>
      </vt:variant>
      <vt:variant>
        <vt:i4>659</vt:i4>
      </vt:variant>
      <vt:variant>
        <vt:i4>0</vt:i4>
      </vt:variant>
      <vt:variant>
        <vt:i4>5</vt:i4>
      </vt:variant>
      <vt:variant>
        <vt:lpwstr/>
      </vt:variant>
      <vt:variant>
        <vt:lpwstr>_Toc2032165639</vt:lpwstr>
      </vt:variant>
      <vt:variant>
        <vt:i4>2359304</vt:i4>
      </vt:variant>
      <vt:variant>
        <vt:i4>653</vt:i4>
      </vt:variant>
      <vt:variant>
        <vt:i4>0</vt:i4>
      </vt:variant>
      <vt:variant>
        <vt:i4>5</vt:i4>
      </vt:variant>
      <vt:variant>
        <vt:lpwstr/>
      </vt:variant>
      <vt:variant>
        <vt:lpwstr>_Toc1186157677</vt:lpwstr>
      </vt:variant>
      <vt:variant>
        <vt:i4>3014657</vt:i4>
      </vt:variant>
      <vt:variant>
        <vt:i4>647</vt:i4>
      </vt:variant>
      <vt:variant>
        <vt:i4>0</vt:i4>
      </vt:variant>
      <vt:variant>
        <vt:i4>5</vt:i4>
      </vt:variant>
      <vt:variant>
        <vt:lpwstr/>
      </vt:variant>
      <vt:variant>
        <vt:lpwstr>_Toc1410960289</vt:lpwstr>
      </vt:variant>
      <vt:variant>
        <vt:i4>1245238</vt:i4>
      </vt:variant>
      <vt:variant>
        <vt:i4>641</vt:i4>
      </vt:variant>
      <vt:variant>
        <vt:i4>0</vt:i4>
      </vt:variant>
      <vt:variant>
        <vt:i4>5</vt:i4>
      </vt:variant>
      <vt:variant>
        <vt:lpwstr/>
      </vt:variant>
      <vt:variant>
        <vt:lpwstr>_Toc402555541</vt:lpwstr>
      </vt:variant>
      <vt:variant>
        <vt:i4>1507383</vt:i4>
      </vt:variant>
      <vt:variant>
        <vt:i4>635</vt:i4>
      </vt:variant>
      <vt:variant>
        <vt:i4>0</vt:i4>
      </vt:variant>
      <vt:variant>
        <vt:i4>5</vt:i4>
      </vt:variant>
      <vt:variant>
        <vt:lpwstr/>
      </vt:variant>
      <vt:variant>
        <vt:lpwstr>_Toc553783917</vt:lpwstr>
      </vt:variant>
      <vt:variant>
        <vt:i4>2490383</vt:i4>
      </vt:variant>
      <vt:variant>
        <vt:i4>629</vt:i4>
      </vt:variant>
      <vt:variant>
        <vt:i4>0</vt:i4>
      </vt:variant>
      <vt:variant>
        <vt:i4>5</vt:i4>
      </vt:variant>
      <vt:variant>
        <vt:lpwstr/>
      </vt:variant>
      <vt:variant>
        <vt:lpwstr>_Toc1046604384</vt:lpwstr>
      </vt:variant>
      <vt:variant>
        <vt:i4>2949130</vt:i4>
      </vt:variant>
      <vt:variant>
        <vt:i4>623</vt:i4>
      </vt:variant>
      <vt:variant>
        <vt:i4>0</vt:i4>
      </vt:variant>
      <vt:variant>
        <vt:i4>5</vt:i4>
      </vt:variant>
      <vt:variant>
        <vt:lpwstr/>
      </vt:variant>
      <vt:variant>
        <vt:lpwstr>_Toc2139778441</vt:lpwstr>
      </vt:variant>
      <vt:variant>
        <vt:i4>2621455</vt:i4>
      </vt:variant>
      <vt:variant>
        <vt:i4>617</vt:i4>
      </vt:variant>
      <vt:variant>
        <vt:i4>0</vt:i4>
      </vt:variant>
      <vt:variant>
        <vt:i4>5</vt:i4>
      </vt:variant>
      <vt:variant>
        <vt:lpwstr/>
      </vt:variant>
      <vt:variant>
        <vt:lpwstr>_Toc2018348172</vt:lpwstr>
      </vt:variant>
      <vt:variant>
        <vt:i4>2097154</vt:i4>
      </vt:variant>
      <vt:variant>
        <vt:i4>611</vt:i4>
      </vt:variant>
      <vt:variant>
        <vt:i4>0</vt:i4>
      </vt:variant>
      <vt:variant>
        <vt:i4>5</vt:i4>
      </vt:variant>
      <vt:variant>
        <vt:lpwstr/>
      </vt:variant>
      <vt:variant>
        <vt:lpwstr>_Toc1263671425</vt:lpwstr>
      </vt:variant>
      <vt:variant>
        <vt:i4>1048633</vt:i4>
      </vt:variant>
      <vt:variant>
        <vt:i4>605</vt:i4>
      </vt:variant>
      <vt:variant>
        <vt:i4>0</vt:i4>
      </vt:variant>
      <vt:variant>
        <vt:i4>5</vt:i4>
      </vt:variant>
      <vt:variant>
        <vt:lpwstr/>
      </vt:variant>
      <vt:variant>
        <vt:lpwstr>_Toc239120053</vt:lpwstr>
      </vt:variant>
      <vt:variant>
        <vt:i4>1048625</vt:i4>
      </vt:variant>
      <vt:variant>
        <vt:i4>599</vt:i4>
      </vt:variant>
      <vt:variant>
        <vt:i4>0</vt:i4>
      </vt:variant>
      <vt:variant>
        <vt:i4>5</vt:i4>
      </vt:variant>
      <vt:variant>
        <vt:lpwstr/>
      </vt:variant>
      <vt:variant>
        <vt:lpwstr>_Toc618877892</vt:lpwstr>
      </vt:variant>
      <vt:variant>
        <vt:i4>2162701</vt:i4>
      </vt:variant>
      <vt:variant>
        <vt:i4>593</vt:i4>
      </vt:variant>
      <vt:variant>
        <vt:i4>0</vt:i4>
      </vt:variant>
      <vt:variant>
        <vt:i4>5</vt:i4>
      </vt:variant>
      <vt:variant>
        <vt:lpwstr/>
      </vt:variant>
      <vt:variant>
        <vt:lpwstr>_Toc1380437177</vt:lpwstr>
      </vt:variant>
      <vt:variant>
        <vt:i4>1835057</vt:i4>
      </vt:variant>
      <vt:variant>
        <vt:i4>587</vt:i4>
      </vt:variant>
      <vt:variant>
        <vt:i4>0</vt:i4>
      </vt:variant>
      <vt:variant>
        <vt:i4>5</vt:i4>
      </vt:variant>
      <vt:variant>
        <vt:lpwstr/>
      </vt:variant>
      <vt:variant>
        <vt:lpwstr>_Toc630548355</vt:lpwstr>
      </vt:variant>
      <vt:variant>
        <vt:i4>1310773</vt:i4>
      </vt:variant>
      <vt:variant>
        <vt:i4>581</vt:i4>
      </vt:variant>
      <vt:variant>
        <vt:i4>0</vt:i4>
      </vt:variant>
      <vt:variant>
        <vt:i4>5</vt:i4>
      </vt:variant>
      <vt:variant>
        <vt:lpwstr/>
      </vt:variant>
      <vt:variant>
        <vt:lpwstr>_Toc502145670</vt:lpwstr>
      </vt:variant>
      <vt:variant>
        <vt:i4>1835057</vt:i4>
      </vt:variant>
      <vt:variant>
        <vt:i4>575</vt:i4>
      </vt:variant>
      <vt:variant>
        <vt:i4>0</vt:i4>
      </vt:variant>
      <vt:variant>
        <vt:i4>5</vt:i4>
      </vt:variant>
      <vt:variant>
        <vt:lpwstr/>
      </vt:variant>
      <vt:variant>
        <vt:lpwstr>_Toc160648434</vt:lpwstr>
      </vt:variant>
      <vt:variant>
        <vt:i4>1769529</vt:i4>
      </vt:variant>
      <vt:variant>
        <vt:i4>569</vt:i4>
      </vt:variant>
      <vt:variant>
        <vt:i4>0</vt:i4>
      </vt:variant>
      <vt:variant>
        <vt:i4>5</vt:i4>
      </vt:variant>
      <vt:variant>
        <vt:lpwstr/>
      </vt:variant>
      <vt:variant>
        <vt:lpwstr>_Toc469729649</vt:lpwstr>
      </vt:variant>
      <vt:variant>
        <vt:i4>1441850</vt:i4>
      </vt:variant>
      <vt:variant>
        <vt:i4>563</vt:i4>
      </vt:variant>
      <vt:variant>
        <vt:i4>0</vt:i4>
      </vt:variant>
      <vt:variant>
        <vt:i4>5</vt:i4>
      </vt:variant>
      <vt:variant>
        <vt:lpwstr/>
      </vt:variant>
      <vt:variant>
        <vt:lpwstr>_Toc505691361</vt:lpwstr>
      </vt:variant>
      <vt:variant>
        <vt:i4>1179696</vt:i4>
      </vt:variant>
      <vt:variant>
        <vt:i4>557</vt:i4>
      </vt:variant>
      <vt:variant>
        <vt:i4>0</vt:i4>
      </vt:variant>
      <vt:variant>
        <vt:i4>5</vt:i4>
      </vt:variant>
      <vt:variant>
        <vt:lpwstr/>
      </vt:variant>
      <vt:variant>
        <vt:lpwstr>_Toc581559117</vt:lpwstr>
      </vt:variant>
      <vt:variant>
        <vt:i4>1769524</vt:i4>
      </vt:variant>
      <vt:variant>
        <vt:i4>551</vt:i4>
      </vt:variant>
      <vt:variant>
        <vt:i4>0</vt:i4>
      </vt:variant>
      <vt:variant>
        <vt:i4>5</vt:i4>
      </vt:variant>
      <vt:variant>
        <vt:lpwstr/>
      </vt:variant>
      <vt:variant>
        <vt:lpwstr>_Toc725679111</vt:lpwstr>
      </vt:variant>
      <vt:variant>
        <vt:i4>1507390</vt:i4>
      </vt:variant>
      <vt:variant>
        <vt:i4>545</vt:i4>
      </vt:variant>
      <vt:variant>
        <vt:i4>0</vt:i4>
      </vt:variant>
      <vt:variant>
        <vt:i4>5</vt:i4>
      </vt:variant>
      <vt:variant>
        <vt:lpwstr/>
      </vt:variant>
      <vt:variant>
        <vt:lpwstr>_Toc54259706</vt:lpwstr>
      </vt:variant>
      <vt:variant>
        <vt:i4>2949126</vt:i4>
      </vt:variant>
      <vt:variant>
        <vt:i4>539</vt:i4>
      </vt:variant>
      <vt:variant>
        <vt:i4>0</vt:i4>
      </vt:variant>
      <vt:variant>
        <vt:i4>5</vt:i4>
      </vt:variant>
      <vt:variant>
        <vt:lpwstr/>
      </vt:variant>
      <vt:variant>
        <vt:lpwstr>_Toc1517213970</vt:lpwstr>
      </vt:variant>
      <vt:variant>
        <vt:i4>2097158</vt:i4>
      </vt:variant>
      <vt:variant>
        <vt:i4>533</vt:i4>
      </vt:variant>
      <vt:variant>
        <vt:i4>0</vt:i4>
      </vt:variant>
      <vt:variant>
        <vt:i4>5</vt:i4>
      </vt:variant>
      <vt:variant>
        <vt:lpwstr/>
      </vt:variant>
      <vt:variant>
        <vt:lpwstr>_Toc1572666305</vt:lpwstr>
      </vt:variant>
      <vt:variant>
        <vt:i4>2490375</vt:i4>
      </vt:variant>
      <vt:variant>
        <vt:i4>527</vt:i4>
      </vt:variant>
      <vt:variant>
        <vt:i4>0</vt:i4>
      </vt:variant>
      <vt:variant>
        <vt:i4>5</vt:i4>
      </vt:variant>
      <vt:variant>
        <vt:lpwstr/>
      </vt:variant>
      <vt:variant>
        <vt:lpwstr>_Toc2028661906</vt:lpwstr>
      </vt:variant>
      <vt:variant>
        <vt:i4>1572924</vt:i4>
      </vt:variant>
      <vt:variant>
        <vt:i4>521</vt:i4>
      </vt:variant>
      <vt:variant>
        <vt:i4>0</vt:i4>
      </vt:variant>
      <vt:variant>
        <vt:i4>5</vt:i4>
      </vt:variant>
      <vt:variant>
        <vt:lpwstr/>
      </vt:variant>
      <vt:variant>
        <vt:lpwstr>_Toc89433431</vt:lpwstr>
      </vt:variant>
      <vt:variant>
        <vt:i4>2031670</vt:i4>
      </vt:variant>
      <vt:variant>
        <vt:i4>515</vt:i4>
      </vt:variant>
      <vt:variant>
        <vt:i4>0</vt:i4>
      </vt:variant>
      <vt:variant>
        <vt:i4>5</vt:i4>
      </vt:variant>
      <vt:variant>
        <vt:lpwstr/>
      </vt:variant>
      <vt:variant>
        <vt:lpwstr>_Toc996782142</vt:lpwstr>
      </vt:variant>
      <vt:variant>
        <vt:i4>1638449</vt:i4>
      </vt:variant>
      <vt:variant>
        <vt:i4>509</vt:i4>
      </vt:variant>
      <vt:variant>
        <vt:i4>0</vt:i4>
      </vt:variant>
      <vt:variant>
        <vt:i4>5</vt:i4>
      </vt:variant>
      <vt:variant>
        <vt:lpwstr/>
      </vt:variant>
      <vt:variant>
        <vt:lpwstr>_Toc36750558</vt:lpwstr>
      </vt:variant>
      <vt:variant>
        <vt:i4>2949122</vt:i4>
      </vt:variant>
      <vt:variant>
        <vt:i4>503</vt:i4>
      </vt:variant>
      <vt:variant>
        <vt:i4>0</vt:i4>
      </vt:variant>
      <vt:variant>
        <vt:i4>5</vt:i4>
      </vt:variant>
      <vt:variant>
        <vt:lpwstr/>
      </vt:variant>
      <vt:variant>
        <vt:lpwstr>_Toc2001848609</vt:lpwstr>
      </vt:variant>
      <vt:variant>
        <vt:i4>2818057</vt:i4>
      </vt:variant>
      <vt:variant>
        <vt:i4>497</vt:i4>
      </vt:variant>
      <vt:variant>
        <vt:i4>0</vt:i4>
      </vt:variant>
      <vt:variant>
        <vt:i4>5</vt:i4>
      </vt:variant>
      <vt:variant>
        <vt:lpwstr/>
      </vt:variant>
      <vt:variant>
        <vt:lpwstr>_Toc1363402488</vt:lpwstr>
      </vt:variant>
      <vt:variant>
        <vt:i4>2097154</vt:i4>
      </vt:variant>
      <vt:variant>
        <vt:i4>491</vt:i4>
      </vt:variant>
      <vt:variant>
        <vt:i4>0</vt:i4>
      </vt:variant>
      <vt:variant>
        <vt:i4>5</vt:i4>
      </vt:variant>
      <vt:variant>
        <vt:lpwstr/>
      </vt:variant>
      <vt:variant>
        <vt:lpwstr>_Toc1948710700</vt:lpwstr>
      </vt:variant>
      <vt:variant>
        <vt:i4>2293763</vt:i4>
      </vt:variant>
      <vt:variant>
        <vt:i4>485</vt:i4>
      </vt:variant>
      <vt:variant>
        <vt:i4>0</vt:i4>
      </vt:variant>
      <vt:variant>
        <vt:i4>5</vt:i4>
      </vt:variant>
      <vt:variant>
        <vt:lpwstr/>
      </vt:variant>
      <vt:variant>
        <vt:lpwstr>_Toc2082168505</vt:lpwstr>
      </vt:variant>
      <vt:variant>
        <vt:i4>2293766</vt:i4>
      </vt:variant>
      <vt:variant>
        <vt:i4>479</vt:i4>
      </vt:variant>
      <vt:variant>
        <vt:i4>0</vt:i4>
      </vt:variant>
      <vt:variant>
        <vt:i4>5</vt:i4>
      </vt:variant>
      <vt:variant>
        <vt:lpwstr/>
      </vt:variant>
      <vt:variant>
        <vt:lpwstr>_Toc1573040305</vt:lpwstr>
      </vt:variant>
      <vt:variant>
        <vt:i4>1179698</vt:i4>
      </vt:variant>
      <vt:variant>
        <vt:i4>473</vt:i4>
      </vt:variant>
      <vt:variant>
        <vt:i4>0</vt:i4>
      </vt:variant>
      <vt:variant>
        <vt:i4>5</vt:i4>
      </vt:variant>
      <vt:variant>
        <vt:lpwstr/>
      </vt:variant>
      <vt:variant>
        <vt:lpwstr>_Toc344605521</vt:lpwstr>
      </vt:variant>
      <vt:variant>
        <vt:i4>2752527</vt:i4>
      </vt:variant>
      <vt:variant>
        <vt:i4>467</vt:i4>
      </vt:variant>
      <vt:variant>
        <vt:i4>0</vt:i4>
      </vt:variant>
      <vt:variant>
        <vt:i4>5</vt:i4>
      </vt:variant>
      <vt:variant>
        <vt:lpwstr/>
      </vt:variant>
      <vt:variant>
        <vt:lpwstr>_Toc2128981975</vt:lpwstr>
      </vt:variant>
      <vt:variant>
        <vt:i4>1441849</vt:i4>
      </vt:variant>
      <vt:variant>
        <vt:i4>461</vt:i4>
      </vt:variant>
      <vt:variant>
        <vt:i4>0</vt:i4>
      </vt:variant>
      <vt:variant>
        <vt:i4>5</vt:i4>
      </vt:variant>
      <vt:variant>
        <vt:lpwstr/>
      </vt:variant>
      <vt:variant>
        <vt:lpwstr>_Toc704687209</vt:lpwstr>
      </vt:variant>
      <vt:variant>
        <vt:i4>1638452</vt:i4>
      </vt:variant>
      <vt:variant>
        <vt:i4>455</vt:i4>
      </vt:variant>
      <vt:variant>
        <vt:i4>0</vt:i4>
      </vt:variant>
      <vt:variant>
        <vt:i4>5</vt:i4>
      </vt:variant>
      <vt:variant>
        <vt:lpwstr/>
      </vt:variant>
      <vt:variant>
        <vt:lpwstr>_Toc778998286</vt:lpwstr>
      </vt:variant>
      <vt:variant>
        <vt:i4>3014662</vt:i4>
      </vt:variant>
      <vt:variant>
        <vt:i4>449</vt:i4>
      </vt:variant>
      <vt:variant>
        <vt:i4>0</vt:i4>
      </vt:variant>
      <vt:variant>
        <vt:i4>5</vt:i4>
      </vt:variant>
      <vt:variant>
        <vt:lpwstr/>
      </vt:variant>
      <vt:variant>
        <vt:lpwstr>_Toc1872731464</vt:lpwstr>
      </vt:variant>
      <vt:variant>
        <vt:i4>1310768</vt:i4>
      </vt:variant>
      <vt:variant>
        <vt:i4>443</vt:i4>
      </vt:variant>
      <vt:variant>
        <vt:i4>0</vt:i4>
      </vt:variant>
      <vt:variant>
        <vt:i4>5</vt:i4>
      </vt:variant>
      <vt:variant>
        <vt:lpwstr/>
      </vt:variant>
      <vt:variant>
        <vt:lpwstr>_Toc157668086</vt:lpwstr>
      </vt:variant>
      <vt:variant>
        <vt:i4>3014668</vt:i4>
      </vt:variant>
      <vt:variant>
        <vt:i4>437</vt:i4>
      </vt:variant>
      <vt:variant>
        <vt:i4>0</vt:i4>
      </vt:variant>
      <vt:variant>
        <vt:i4>5</vt:i4>
      </vt:variant>
      <vt:variant>
        <vt:lpwstr/>
      </vt:variant>
      <vt:variant>
        <vt:lpwstr>_Toc1381989350</vt:lpwstr>
      </vt:variant>
      <vt:variant>
        <vt:i4>1048638</vt:i4>
      </vt:variant>
      <vt:variant>
        <vt:i4>431</vt:i4>
      </vt:variant>
      <vt:variant>
        <vt:i4>0</vt:i4>
      </vt:variant>
      <vt:variant>
        <vt:i4>5</vt:i4>
      </vt:variant>
      <vt:variant>
        <vt:lpwstr/>
      </vt:variant>
      <vt:variant>
        <vt:lpwstr>_Toc817115022</vt:lpwstr>
      </vt:variant>
      <vt:variant>
        <vt:i4>2883590</vt:i4>
      </vt:variant>
      <vt:variant>
        <vt:i4>425</vt:i4>
      </vt:variant>
      <vt:variant>
        <vt:i4>0</vt:i4>
      </vt:variant>
      <vt:variant>
        <vt:i4>5</vt:i4>
      </vt:variant>
      <vt:variant>
        <vt:lpwstr/>
      </vt:variant>
      <vt:variant>
        <vt:lpwstr>_Toc1636377408</vt:lpwstr>
      </vt:variant>
      <vt:variant>
        <vt:i4>2621455</vt:i4>
      </vt:variant>
      <vt:variant>
        <vt:i4>419</vt:i4>
      </vt:variant>
      <vt:variant>
        <vt:i4>0</vt:i4>
      </vt:variant>
      <vt:variant>
        <vt:i4>5</vt:i4>
      </vt:variant>
      <vt:variant>
        <vt:lpwstr/>
      </vt:variant>
      <vt:variant>
        <vt:lpwstr>_Toc1321693490</vt:lpwstr>
      </vt:variant>
      <vt:variant>
        <vt:i4>1310780</vt:i4>
      </vt:variant>
      <vt:variant>
        <vt:i4>413</vt:i4>
      </vt:variant>
      <vt:variant>
        <vt:i4>0</vt:i4>
      </vt:variant>
      <vt:variant>
        <vt:i4>5</vt:i4>
      </vt:variant>
      <vt:variant>
        <vt:lpwstr/>
      </vt:variant>
      <vt:variant>
        <vt:lpwstr>_Toc760686355</vt:lpwstr>
      </vt:variant>
      <vt:variant>
        <vt:i4>1572913</vt:i4>
      </vt:variant>
      <vt:variant>
        <vt:i4>407</vt:i4>
      </vt:variant>
      <vt:variant>
        <vt:i4>0</vt:i4>
      </vt:variant>
      <vt:variant>
        <vt:i4>5</vt:i4>
      </vt:variant>
      <vt:variant>
        <vt:lpwstr/>
      </vt:variant>
      <vt:variant>
        <vt:lpwstr>_Toc68210751</vt:lpwstr>
      </vt:variant>
      <vt:variant>
        <vt:i4>2162702</vt:i4>
      </vt:variant>
      <vt:variant>
        <vt:i4>401</vt:i4>
      </vt:variant>
      <vt:variant>
        <vt:i4>0</vt:i4>
      </vt:variant>
      <vt:variant>
        <vt:i4>5</vt:i4>
      </vt:variant>
      <vt:variant>
        <vt:lpwstr/>
      </vt:variant>
      <vt:variant>
        <vt:lpwstr>_Toc1775178211</vt:lpwstr>
      </vt:variant>
      <vt:variant>
        <vt:i4>2621446</vt:i4>
      </vt:variant>
      <vt:variant>
        <vt:i4>395</vt:i4>
      </vt:variant>
      <vt:variant>
        <vt:i4>0</vt:i4>
      </vt:variant>
      <vt:variant>
        <vt:i4>5</vt:i4>
      </vt:variant>
      <vt:variant>
        <vt:lpwstr/>
      </vt:variant>
      <vt:variant>
        <vt:lpwstr>_Toc1437066228</vt:lpwstr>
      </vt:variant>
      <vt:variant>
        <vt:i4>1179699</vt:i4>
      </vt:variant>
      <vt:variant>
        <vt:i4>389</vt:i4>
      </vt:variant>
      <vt:variant>
        <vt:i4>0</vt:i4>
      </vt:variant>
      <vt:variant>
        <vt:i4>5</vt:i4>
      </vt:variant>
      <vt:variant>
        <vt:lpwstr/>
      </vt:variant>
      <vt:variant>
        <vt:lpwstr>_Toc773226564</vt:lpwstr>
      </vt:variant>
      <vt:variant>
        <vt:i4>2752524</vt:i4>
      </vt:variant>
      <vt:variant>
        <vt:i4>383</vt:i4>
      </vt:variant>
      <vt:variant>
        <vt:i4>0</vt:i4>
      </vt:variant>
      <vt:variant>
        <vt:i4>5</vt:i4>
      </vt:variant>
      <vt:variant>
        <vt:lpwstr/>
      </vt:variant>
      <vt:variant>
        <vt:lpwstr>_Toc1751799567</vt:lpwstr>
      </vt:variant>
      <vt:variant>
        <vt:i4>2162702</vt:i4>
      </vt:variant>
      <vt:variant>
        <vt:i4>377</vt:i4>
      </vt:variant>
      <vt:variant>
        <vt:i4>0</vt:i4>
      </vt:variant>
      <vt:variant>
        <vt:i4>5</vt:i4>
      </vt:variant>
      <vt:variant>
        <vt:lpwstr/>
      </vt:variant>
      <vt:variant>
        <vt:lpwstr>_Toc1146360087</vt:lpwstr>
      </vt:variant>
      <vt:variant>
        <vt:i4>8323173</vt:i4>
      </vt:variant>
      <vt:variant>
        <vt:i4>372</vt:i4>
      </vt:variant>
      <vt:variant>
        <vt:i4>0</vt:i4>
      </vt:variant>
      <vt:variant>
        <vt:i4>5</vt:i4>
      </vt:variant>
      <vt:variant>
        <vt:lpwstr>https://northwestern.cloud-cme.com/content/activityplanning</vt:lpwstr>
      </vt:variant>
      <vt:variant>
        <vt:lpwstr/>
      </vt:variant>
      <vt:variant>
        <vt:i4>8323173</vt:i4>
      </vt:variant>
      <vt:variant>
        <vt:i4>369</vt:i4>
      </vt:variant>
      <vt:variant>
        <vt:i4>0</vt:i4>
      </vt:variant>
      <vt:variant>
        <vt:i4>5</vt:i4>
      </vt:variant>
      <vt:variant>
        <vt:lpwstr>https://northwestern.cloud-cme.com/content/activityplanning</vt:lpwstr>
      </vt:variant>
      <vt:variant>
        <vt:lpwstr/>
      </vt:variant>
      <vt:variant>
        <vt:i4>2949168</vt:i4>
      </vt:variant>
      <vt:variant>
        <vt:i4>366</vt:i4>
      </vt:variant>
      <vt:variant>
        <vt:i4>0</vt:i4>
      </vt:variant>
      <vt:variant>
        <vt:i4>5</vt:i4>
      </vt:variant>
      <vt:variant>
        <vt:lpwstr>https://../assets/northwestern/PDF/2020PlanningValidationForm.docx</vt:lpwstr>
      </vt:variant>
      <vt:variant>
        <vt:lpwstr/>
      </vt:variant>
      <vt:variant>
        <vt:i4>1441804</vt:i4>
      </vt:variant>
      <vt:variant>
        <vt:i4>363</vt:i4>
      </vt:variant>
      <vt:variant>
        <vt:i4>0</vt:i4>
      </vt:variant>
      <vt:variant>
        <vt:i4>5</vt:i4>
      </vt:variant>
      <vt:variant>
        <vt:lpwstr>https://northwestern.cloud-cme.com/Form.aspx?FormID=1290</vt:lpwstr>
      </vt:variant>
      <vt:variant>
        <vt:lpwstr/>
      </vt:variant>
      <vt:variant>
        <vt:i4>8323173</vt:i4>
      </vt:variant>
      <vt:variant>
        <vt:i4>360</vt:i4>
      </vt:variant>
      <vt:variant>
        <vt:i4>0</vt:i4>
      </vt:variant>
      <vt:variant>
        <vt:i4>5</vt:i4>
      </vt:variant>
      <vt:variant>
        <vt:lpwstr>https://northwestern.cloud-cme.com/content/activityplanning</vt:lpwstr>
      </vt:variant>
      <vt:variant>
        <vt:lpwstr/>
      </vt:variant>
      <vt:variant>
        <vt:i4>1441804</vt:i4>
      </vt:variant>
      <vt:variant>
        <vt:i4>357</vt:i4>
      </vt:variant>
      <vt:variant>
        <vt:i4>0</vt:i4>
      </vt:variant>
      <vt:variant>
        <vt:i4>5</vt:i4>
      </vt:variant>
      <vt:variant>
        <vt:lpwstr>https://northwestern.cloud-cme.com/Form.aspx?FormID=1290</vt:lpwstr>
      </vt:variant>
      <vt:variant>
        <vt:lpwstr/>
      </vt:variant>
      <vt:variant>
        <vt:i4>6684792</vt:i4>
      </vt:variant>
      <vt:variant>
        <vt:i4>354</vt:i4>
      </vt:variant>
      <vt:variant>
        <vt:i4>0</vt:i4>
      </vt:variant>
      <vt:variant>
        <vt:i4>5</vt:i4>
      </vt:variant>
      <vt:variant>
        <vt:lpwstr>https://northwestern.cloud-cme.com/content/development</vt:lpwstr>
      </vt:variant>
      <vt:variant>
        <vt:lpwstr/>
      </vt:variant>
      <vt:variant>
        <vt:i4>6225943</vt:i4>
      </vt:variant>
      <vt:variant>
        <vt:i4>351</vt:i4>
      </vt:variant>
      <vt:variant>
        <vt:i4>0</vt:i4>
      </vt:variant>
      <vt:variant>
        <vt:i4>5</vt:i4>
      </vt:variant>
      <vt:variant>
        <vt:lpwstr>http://www.cme.northwestern.edu/</vt:lpwstr>
      </vt:variant>
      <vt:variant>
        <vt:lpwstr/>
      </vt:variant>
      <vt:variant>
        <vt:i4>8323173</vt:i4>
      </vt:variant>
      <vt:variant>
        <vt:i4>348</vt:i4>
      </vt:variant>
      <vt:variant>
        <vt:i4>0</vt:i4>
      </vt:variant>
      <vt:variant>
        <vt:i4>5</vt:i4>
      </vt:variant>
      <vt:variant>
        <vt:lpwstr>https://northwestern.cloud-cme.com/content/activityplanning</vt:lpwstr>
      </vt:variant>
      <vt:variant>
        <vt:lpwstr/>
      </vt:variant>
      <vt:variant>
        <vt:i4>6619233</vt:i4>
      </vt:variant>
      <vt:variant>
        <vt:i4>345</vt:i4>
      </vt:variant>
      <vt:variant>
        <vt:i4>0</vt:i4>
      </vt:variant>
      <vt:variant>
        <vt:i4>5</vt:i4>
      </vt:variant>
      <vt:variant>
        <vt:lpwstr>https://northwestern.cloud-cme.com/</vt:lpwstr>
      </vt:variant>
      <vt:variant>
        <vt:lpwstr/>
      </vt:variant>
      <vt:variant>
        <vt:i4>1703941</vt:i4>
      </vt:variant>
      <vt:variant>
        <vt:i4>342</vt:i4>
      </vt:variant>
      <vt:variant>
        <vt:i4>0</vt:i4>
      </vt:variant>
      <vt:variant>
        <vt:i4>5</vt:i4>
      </vt:variant>
      <vt:variant>
        <vt:lpwstr>https://../assets/northwestern/PDF/SpeakerGuidelines2026.doc</vt:lpwstr>
      </vt:variant>
      <vt:variant>
        <vt:lpwstr/>
      </vt:variant>
      <vt:variant>
        <vt:i4>7995394</vt:i4>
      </vt:variant>
      <vt:variant>
        <vt:i4>339</vt:i4>
      </vt:variant>
      <vt:variant>
        <vt:i4>0</vt:i4>
      </vt:variant>
      <vt:variant>
        <vt:i4>5</vt:i4>
      </vt:variant>
      <vt:variant>
        <vt:lpwstr>http://accme.org/wp-content/uploads/2024/06/1038_20240514_Funding_Playbook.pdf</vt:lpwstr>
      </vt:variant>
      <vt:variant>
        <vt:lpwstr/>
      </vt:variant>
      <vt:variant>
        <vt:i4>6684792</vt:i4>
      </vt:variant>
      <vt:variant>
        <vt:i4>336</vt:i4>
      </vt:variant>
      <vt:variant>
        <vt:i4>0</vt:i4>
      </vt:variant>
      <vt:variant>
        <vt:i4>5</vt:i4>
      </vt:variant>
      <vt:variant>
        <vt:lpwstr>https://northwestern.cloud-cme.com/content/development</vt:lpwstr>
      </vt:variant>
      <vt:variant>
        <vt:lpwstr/>
      </vt:variant>
      <vt:variant>
        <vt:i4>2687098</vt:i4>
      </vt:variant>
      <vt:variant>
        <vt:i4>333</vt:i4>
      </vt:variant>
      <vt:variant>
        <vt:i4>0</vt:i4>
      </vt:variant>
      <vt:variant>
        <vt:i4>5</vt:i4>
      </vt:variant>
      <vt:variant>
        <vt:lpwstr>http://www.accme.org/requirements/accreditation-requirements-cme-providers/policies-and-definitions/joint-providership</vt:lpwstr>
      </vt:variant>
      <vt:variant>
        <vt:lpwstr/>
      </vt:variant>
      <vt:variant>
        <vt:i4>6160468</vt:i4>
      </vt:variant>
      <vt:variant>
        <vt:i4>330</vt:i4>
      </vt:variant>
      <vt:variant>
        <vt:i4>0</vt:i4>
      </vt:variant>
      <vt:variant>
        <vt:i4>5</vt:i4>
      </vt:variant>
      <vt:variant>
        <vt:lpwstr>http://accme.org/rules/standards/</vt:lpwstr>
      </vt:variant>
      <vt:variant>
        <vt:lpwstr/>
      </vt:variant>
      <vt:variant>
        <vt:i4>1835066</vt:i4>
      </vt:variant>
      <vt:variant>
        <vt:i4>323</vt:i4>
      </vt:variant>
      <vt:variant>
        <vt:i4>0</vt:i4>
      </vt:variant>
      <vt:variant>
        <vt:i4>5</vt:i4>
      </vt:variant>
      <vt:variant>
        <vt:lpwstr/>
      </vt:variant>
      <vt:variant>
        <vt:lpwstr>_Toc238829293</vt:lpwstr>
      </vt:variant>
      <vt:variant>
        <vt:i4>1835066</vt:i4>
      </vt:variant>
      <vt:variant>
        <vt:i4>317</vt:i4>
      </vt:variant>
      <vt:variant>
        <vt:i4>0</vt:i4>
      </vt:variant>
      <vt:variant>
        <vt:i4>5</vt:i4>
      </vt:variant>
      <vt:variant>
        <vt:lpwstr/>
      </vt:variant>
      <vt:variant>
        <vt:lpwstr>_Toc238829292</vt:lpwstr>
      </vt:variant>
      <vt:variant>
        <vt:i4>1835066</vt:i4>
      </vt:variant>
      <vt:variant>
        <vt:i4>311</vt:i4>
      </vt:variant>
      <vt:variant>
        <vt:i4>0</vt:i4>
      </vt:variant>
      <vt:variant>
        <vt:i4>5</vt:i4>
      </vt:variant>
      <vt:variant>
        <vt:lpwstr/>
      </vt:variant>
      <vt:variant>
        <vt:lpwstr>_Toc238829291</vt:lpwstr>
      </vt:variant>
      <vt:variant>
        <vt:i4>1835066</vt:i4>
      </vt:variant>
      <vt:variant>
        <vt:i4>305</vt:i4>
      </vt:variant>
      <vt:variant>
        <vt:i4>0</vt:i4>
      </vt:variant>
      <vt:variant>
        <vt:i4>5</vt:i4>
      </vt:variant>
      <vt:variant>
        <vt:lpwstr/>
      </vt:variant>
      <vt:variant>
        <vt:lpwstr>_Toc238829290</vt:lpwstr>
      </vt:variant>
      <vt:variant>
        <vt:i4>1900602</vt:i4>
      </vt:variant>
      <vt:variant>
        <vt:i4>299</vt:i4>
      </vt:variant>
      <vt:variant>
        <vt:i4>0</vt:i4>
      </vt:variant>
      <vt:variant>
        <vt:i4>5</vt:i4>
      </vt:variant>
      <vt:variant>
        <vt:lpwstr/>
      </vt:variant>
      <vt:variant>
        <vt:lpwstr>_Toc238829289</vt:lpwstr>
      </vt:variant>
      <vt:variant>
        <vt:i4>1900602</vt:i4>
      </vt:variant>
      <vt:variant>
        <vt:i4>293</vt:i4>
      </vt:variant>
      <vt:variant>
        <vt:i4>0</vt:i4>
      </vt:variant>
      <vt:variant>
        <vt:i4>5</vt:i4>
      </vt:variant>
      <vt:variant>
        <vt:lpwstr/>
      </vt:variant>
      <vt:variant>
        <vt:lpwstr>_Toc238829288</vt:lpwstr>
      </vt:variant>
      <vt:variant>
        <vt:i4>1900602</vt:i4>
      </vt:variant>
      <vt:variant>
        <vt:i4>287</vt:i4>
      </vt:variant>
      <vt:variant>
        <vt:i4>0</vt:i4>
      </vt:variant>
      <vt:variant>
        <vt:i4>5</vt:i4>
      </vt:variant>
      <vt:variant>
        <vt:lpwstr/>
      </vt:variant>
      <vt:variant>
        <vt:lpwstr>_Toc238829287</vt:lpwstr>
      </vt:variant>
      <vt:variant>
        <vt:i4>1900602</vt:i4>
      </vt:variant>
      <vt:variant>
        <vt:i4>281</vt:i4>
      </vt:variant>
      <vt:variant>
        <vt:i4>0</vt:i4>
      </vt:variant>
      <vt:variant>
        <vt:i4>5</vt:i4>
      </vt:variant>
      <vt:variant>
        <vt:lpwstr/>
      </vt:variant>
      <vt:variant>
        <vt:lpwstr>_Toc238829286</vt:lpwstr>
      </vt:variant>
      <vt:variant>
        <vt:i4>1900602</vt:i4>
      </vt:variant>
      <vt:variant>
        <vt:i4>275</vt:i4>
      </vt:variant>
      <vt:variant>
        <vt:i4>0</vt:i4>
      </vt:variant>
      <vt:variant>
        <vt:i4>5</vt:i4>
      </vt:variant>
      <vt:variant>
        <vt:lpwstr/>
      </vt:variant>
      <vt:variant>
        <vt:lpwstr>_Toc238829285</vt:lpwstr>
      </vt:variant>
      <vt:variant>
        <vt:i4>1900602</vt:i4>
      </vt:variant>
      <vt:variant>
        <vt:i4>269</vt:i4>
      </vt:variant>
      <vt:variant>
        <vt:i4>0</vt:i4>
      </vt:variant>
      <vt:variant>
        <vt:i4>5</vt:i4>
      </vt:variant>
      <vt:variant>
        <vt:lpwstr/>
      </vt:variant>
      <vt:variant>
        <vt:lpwstr>_Toc238829284</vt:lpwstr>
      </vt:variant>
      <vt:variant>
        <vt:i4>1900602</vt:i4>
      </vt:variant>
      <vt:variant>
        <vt:i4>263</vt:i4>
      </vt:variant>
      <vt:variant>
        <vt:i4>0</vt:i4>
      </vt:variant>
      <vt:variant>
        <vt:i4>5</vt:i4>
      </vt:variant>
      <vt:variant>
        <vt:lpwstr/>
      </vt:variant>
      <vt:variant>
        <vt:lpwstr>_Toc238829283</vt:lpwstr>
      </vt:variant>
      <vt:variant>
        <vt:i4>1900602</vt:i4>
      </vt:variant>
      <vt:variant>
        <vt:i4>257</vt:i4>
      </vt:variant>
      <vt:variant>
        <vt:i4>0</vt:i4>
      </vt:variant>
      <vt:variant>
        <vt:i4>5</vt:i4>
      </vt:variant>
      <vt:variant>
        <vt:lpwstr/>
      </vt:variant>
      <vt:variant>
        <vt:lpwstr>_Toc238829282</vt:lpwstr>
      </vt:variant>
      <vt:variant>
        <vt:i4>1900602</vt:i4>
      </vt:variant>
      <vt:variant>
        <vt:i4>251</vt:i4>
      </vt:variant>
      <vt:variant>
        <vt:i4>0</vt:i4>
      </vt:variant>
      <vt:variant>
        <vt:i4>5</vt:i4>
      </vt:variant>
      <vt:variant>
        <vt:lpwstr/>
      </vt:variant>
      <vt:variant>
        <vt:lpwstr>_Toc238829281</vt:lpwstr>
      </vt:variant>
      <vt:variant>
        <vt:i4>1900602</vt:i4>
      </vt:variant>
      <vt:variant>
        <vt:i4>245</vt:i4>
      </vt:variant>
      <vt:variant>
        <vt:i4>0</vt:i4>
      </vt:variant>
      <vt:variant>
        <vt:i4>5</vt:i4>
      </vt:variant>
      <vt:variant>
        <vt:lpwstr/>
      </vt:variant>
      <vt:variant>
        <vt:lpwstr>_Toc238829280</vt:lpwstr>
      </vt:variant>
      <vt:variant>
        <vt:i4>1179706</vt:i4>
      </vt:variant>
      <vt:variant>
        <vt:i4>239</vt:i4>
      </vt:variant>
      <vt:variant>
        <vt:i4>0</vt:i4>
      </vt:variant>
      <vt:variant>
        <vt:i4>5</vt:i4>
      </vt:variant>
      <vt:variant>
        <vt:lpwstr/>
      </vt:variant>
      <vt:variant>
        <vt:lpwstr>_Toc238829279</vt:lpwstr>
      </vt:variant>
      <vt:variant>
        <vt:i4>1179706</vt:i4>
      </vt:variant>
      <vt:variant>
        <vt:i4>233</vt:i4>
      </vt:variant>
      <vt:variant>
        <vt:i4>0</vt:i4>
      </vt:variant>
      <vt:variant>
        <vt:i4>5</vt:i4>
      </vt:variant>
      <vt:variant>
        <vt:lpwstr/>
      </vt:variant>
      <vt:variant>
        <vt:lpwstr>_Toc238829278</vt:lpwstr>
      </vt:variant>
      <vt:variant>
        <vt:i4>1179706</vt:i4>
      </vt:variant>
      <vt:variant>
        <vt:i4>227</vt:i4>
      </vt:variant>
      <vt:variant>
        <vt:i4>0</vt:i4>
      </vt:variant>
      <vt:variant>
        <vt:i4>5</vt:i4>
      </vt:variant>
      <vt:variant>
        <vt:lpwstr/>
      </vt:variant>
      <vt:variant>
        <vt:lpwstr>_Toc238829277</vt:lpwstr>
      </vt:variant>
      <vt:variant>
        <vt:i4>1179706</vt:i4>
      </vt:variant>
      <vt:variant>
        <vt:i4>221</vt:i4>
      </vt:variant>
      <vt:variant>
        <vt:i4>0</vt:i4>
      </vt:variant>
      <vt:variant>
        <vt:i4>5</vt:i4>
      </vt:variant>
      <vt:variant>
        <vt:lpwstr/>
      </vt:variant>
      <vt:variant>
        <vt:lpwstr>_Toc238829276</vt:lpwstr>
      </vt:variant>
      <vt:variant>
        <vt:i4>1179706</vt:i4>
      </vt:variant>
      <vt:variant>
        <vt:i4>215</vt:i4>
      </vt:variant>
      <vt:variant>
        <vt:i4>0</vt:i4>
      </vt:variant>
      <vt:variant>
        <vt:i4>5</vt:i4>
      </vt:variant>
      <vt:variant>
        <vt:lpwstr/>
      </vt:variant>
      <vt:variant>
        <vt:lpwstr>_Toc238829275</vt:lpwstr>
      </vt:variant>
      <vt:variant>
        <vt:i4>1179706</vt:i4>
      </vt:variant>
      <vt:variant>
        <vt:i4>209</vt:i4>
      </vt:variant>
      <vt:variant>
        <vt:i4>0</vt:i4>
      </vt:variant>
      <vt:variant>
        <vt:i4>5</vt:i4>
      </vt:variant>
      <vt:variant>
        <vt:lpwstr/>
      </vt:variant>
      <vt:variant>
        <vt:lpwstr>_Toc238829274</vt:lpwstr>
      </vt:variant>
      <vt:variant>
        <vt:i4>1179706</vt:i4>
      </vt:variant>
      <vt:variant>
        <vt:i4>203</vt:i4>
      </vt:variant>
      <vt:variant>
        <vt:i4>0</vt:i4>
      </vt:variant>
      <vt:variant>
        <vt:i4>5</vt:i4>
      </vt:variant>
      <vt:variant>
        <vt:lpwstr/>
      </vt:variant>
      <vt:variant>
        <vt:lpwstr>_Toc238829273</vt:lpwstr>
      </vt:variant>
      <vt:variant>
        <vt:i4>1179706</vt:i4>
      </vt:variant>
      <vt:variant>
        <vt:i4>197</vt:i4>
      </vt:variant>
      <vt:variant>
        <vt:i4>0</vt:i4>
      </vt:variant>
      <vt:variant>
        <vt:i4>5</vt:i4>
      </vt:variant>
      <vt:variant>
        <vt:lpwstr/>
      </vt:variant>
      <vt:variant>
        <vt:lpwstr>_Toc238829272</vt:lpwstr>
      </vt:variant>
      <vt:variant>
        <vt:i4>1179706</vt:i4>
      </vt:variant>
      <vt:variant>
        <vt:i4>191</vt:i4>
      </vt:variant>
      <vt:variant>
        <vt:i4>0</vt:i4>
      </vt:variant>
      <vt:variant>
        <vt:i4>5</vt:i4>
      </vt:variant>
      <vt:variant>
        <vt:lpwstr/>
      </vt:variant>
      <vt:variant>
        <vt:lpwstr>_Toc238829271</vt:lpwstr>
      </vt:variant>
      <vt:variant>
        <vt:i4>1179706</vt:i4>
      </vt:variant>
      <vt:variant>
        <vt:i4>185</vt:i4>
      </vt:variant>
      <vt:variant>
        <vt:i4>0</vt:i4>
      </vt:variant>
      <vt:variant>
        <vt:i4>5</vt:i4>
      </vt:variant>
      <vt:variant>
        <vt:lpwstr/>
      </vt:variant>
      <vt:variant>
        <vt:lpwstr>_Toc238829270</vt:lpwstr>
      </vt:variant>
      <vt:variant>
        <vt:i4>1245242</vt:i4>
      </vt:variant>
      <vt:variant>
        <vt:i4>179</vt:i4>
      </vt:variant>
      <vt:variant>
        <vt:i4>0</vt:i4>
      </vt:variant>
      <vt:variant>
        <vt:i4>5</vt:i4>
      </vt:variant>
      <vt:variant>
        <vt:lpwstr/>
      </vt:variant>
      <vt:variant>
        <vt:lpwstr>_Toc238829269</vt:lpwstr>
      </vt:variant>
      <vt:variant>
        <vt:i4>1245242</vt:i4>
      </vt:variant>
      <vt:variant>
        <vt:i4>173</vt:i4>
      </vt:variant>
      <vt:variant>
        <vt:i4>0</vt:i4>
      </vt:variant>
      <vt:variant>
        <vt:i4>5</vt:i4>
      </vt:variant>
      <vt:variant>
        <vt:lpwstr/>
      </vt:variant>
      <vt:variant>
        <vt:lpwstr>_Toc238829268</vt:lpwstr>
      </vt:variant>
      <vt:variant>
        <vt:i4>1245242</vt:i4>
      </vt:variant>
      <vt:variant>
        <vt:i4>167</vt:i4>
      </vt:variant>
      <vt:variant>
        <vt:i4>0</vt:i4>
      </vt:variant>
      <vt:variant>
        <vt:i4>5</vt:i4>
      </vt:variant>
      <vt:variant>
        <vt:lpwstr/>
      </vt:variant>
      <vt:variant>
        <vt:lpwstr>_Toc238829267</vt:lpwstr>
      </vt:variant>
      <vt:variant>
        <vt:i4>1245242</vt:i4>
      </vt:variant>
      <vt:variant>
        <vt:i4>161</vt:i4>
      </vt:variant>
      <vt:variant>
        <vt:i4>0</vt:i4>
      </vt:variant>
      <vt:variant>
        <vt:i4>5</vt:i4>
      </vt:variant>
      <vt:variant>
        <vt:lpwstr/>
      </vt:variant>
      <vt:variant>
        <vt:lpwstr>_Toc238829266</vt:lpwstr>
      </vt:variant>
      <vt:variant>
        <vt:i4>1245242</vt:i4>
      </vt:variant>
      <vt:variant>
        <vt:i4>155</vt:i4>
      </vt:variant>
      <vt:variant>
        <vt:i4>0</vt:i4>
      </vt:variant>
      <vt:variant>
        <vt:i4>5</vt:i4>
      </vt:variant>
      <vt:variant>
        <vt:lpwstr/>
      </vt:variant>
      <vt:variant>
        <vt:lpwstr>_Toc238829265</vt:lpwstr>
      </vt:variant>
      <vt:variant>
        <vt:i4>1245242</vt:i4>
      </vt:variant>
      <vt:variant>
        <vt:i4>149</vt:i4>
      </vt:variant>
      <vt:variant>
        <vt:i4>0</vt:i4>
      </vt:variant>
      <vt:variant>
        <vt:i4>5</vt:i4>
      </vt:variant>
      <vt:variant>
        <vt:lpwstr/>
      </vt:variant>
      <vt:variant>
        <vt:lpwstr>_Toc238829264</vt:lpwstr>
      </vt:variant>
      <vt:variant>
        <vt:i4>1245242</vt:i4>
      </vt:variant>
      <vt:variant>
        <vt:i4>143</vt:i4>
      </vt:variant>
      <vt:variant>
        <vt:i4>0</vt:i4>
      </vt:variant>
      <vt:variant>
        <vt:i4>5</vt:i4>
      </vt:variant>
      <vt:variant>
        <vt:lpwstr/>
      </vt:variant>
      <vt:variant>
        <vt:lpwstr>_Toc238829263</vt:lpwstr>
      </vt:variant>
      <vt:variant>
        <vt:i4>1245242</vt:i4>
      </vt:variant>
      <vt:variant>
        <vt:i4>137</vt:i4>
      </vt:variant>
      <vt:variant>
        <vt:i4>0</vt:i4>
      </vt:variant>
      <vt:variant>
        <vt:i4>5</vt:i4>
      </vt:variant>
      <vt:variant>
        <vt:lpwstr/>
      </vt:variant>
      <vt:variant>
        <vt:lpwstr>_Toc238829262</vt:lpwstr>
      </vt:variant>
      <vt:variant>
        <vt:i4>1245242</vt:i4>
      </vt:variant>
      <vt:variant>
        <vt:i4>131</vt:i4>
      </vt:variant>
      <vt:variant>
        <vt:i4>0</vt:i4>
      </vt:variant>
      <vt:variant>
        <vt:i4>5</vt:i4>
      </vt:variant>
      <vt:variant>
        <vt:lpwstr/>
      </vt:variant>
      <vt:variant>
        <vt:lpwstr>_Toc238829261</vt:lpwstr>
      </vt:variant>
      <vt:variant>
        <vt:i4>1245242</vt:i4>
      </vt:variant>
      <vt:variant>
        <vt:i4>125</vt:i4>
      </vt:variant>
      <vt:variant>
        <vt:i4>0</vt:i4>
      </vt:variant>
      <vt:variant>
        <vt:i4>5</vt:i4>
      </vt:variant>
      <vt:variant>
        <vt:lpwstr/>
      </vt:variant>
      <vt:variant>
        <vt:lpwstr>_Toc238829260</vt:lpwstr>
      </vt:variant>
      <vt:variant>
        <vt:i4>1048634</vt:i4>
      </vt:variant>
      <vt:variant>
        <vt:i4>119</vt:i4>
      </vt:variant>
      <vt:variant>
        <vt:i4>0</vt:i4>
      </vt:variant>
      <vt:variant>
        <vt:i4>5</vt:i4>
      </vt:variant>
      <vt:variant>
        <vt:lpwstr/>
      </vt:variant>
      <vt:variant>
        <vt:lpwstr>_Toc238829259</vt:lpwstr>
      </vt:variant>
      <vt:variant>
        <vt:i4>1048634</vt:i4>
      </vt:variant>
      <vt:variant>
        <vt:i4>113</vt:i4>
      </vt:variant>
      <vt:variant>
        <vt:i4>0</vt:i4>
      </vt:variant>
      <vt:variant>
        <vt:i4>5</vt:i4>
      </vt:variant>
      <vt:variant>
        <vt:lpwstr/>
      </vt:variant>
      <vt:variant>
        <vt:lpwstr>_Toc238829258</vt:lpwstr>
      </vt:variant>
      <vt:variant>
        <vt:i4>1048634</vt:i4>
      </vt:variant>
      <vt:variant>
        <vt:i4>107</vt:i4>
      </vt:variant>
      <vt:variant>
        <vt:i4>0</vt:i4>
      </vt:variant>
      <vt:variant>
        <vt:i4>5</vt:i4>
      </vt:variant>
      <vt:variant>
        <vt:lpwstr/>
      </vt:variant>
      <vt:variant>
        <vt:lpwstr>_Toc238829257</vt:lpwstr>
      </vt:variant>
      <vt:variant>
        <vt:i4>1048634</vt:i4>
      </vt:variant>
      <vt:variant>
        <vt:i4>101</vt:i4>
      </vt:variant>
      <vt:variant>
        <vt:i4>0</vt:i4>
      </vt:variant>
      <vt:variant>
        <vt:i4>5</vt:i4>
      </vt:variant>
      <vt:variant>
        <vt:lpwstr/>
      </vt:variant>
      <vt:variant>
        <vt:lpwstr>_Toc238829256</vt:lpwstr>
      </vt:variant>
      <vt:variant>
        <vt:i4>1048634</vt:i4>
      </vt:variant>
      <vt:variant>
        <vt:i4>95</vt:i4>
      </vt:variant>
      <vt:variant>
        <vt:i4>0</vt:i4>
      </vt:variant>
      <vt:variant>
        <vt:i4>5</vt:i4>
      </vt:variant>
      <vt:variant>
        <vt:lpwstr/>
      </vt:variant>
      <vt:variant>
        <vt:lpwstr>_Toc238829255</vt:lpwstr>
      </vt:variant>
      <vt:variant>
        <vt:i4>1048634</vt:i4>
      </vt:variant>
      <vt:variant>
        <vt:i4>89</vt:i4>
      </vt:variant>
      <vt:variant>
        <vt:i4>0</vt:i4>
      </vt:variant>
      <vt:variant>
        <vt:i4>5</vt:i4>
      </vt:variant>
      <vt:variant>
        <vt:lpwstr/>
      </vt:variant>
      <vt:variant>
        <vt:lpwstr>_Toc238829254</vt:lpwstr>
      </vt:variant>
      <vt:variant>
        <vt:i4>1048634</vt:i4>
      </vt:variant>
      <vt:variant>
        <vt:i4>83</vt:i4>
      </vt:variant>
      <vt:variant>
        <vt:i4>0</vt:i4>
      </vt:variant>
      <vt:variant>
        <vt:i4>5</vt:i4>
      </vt:variant>
      <vt:variant>
        <vt:lpwstr/>
      </vt:variant>
      <vt:variant>
        <vt:lpwstr>_Toc238829253</vt:lpwstr>
      </vt:variant>
      <vt:variant>
        <vt:i4>1048634</vt:i4>
      </vt:variant>
      <vt:variant>
        <vt:i4>77</vt:i4>
      </vt:variant>
      <vt:variant>
        <vt:i4>0</vt:i4>
      </vt:variant>
      <vt:variant>
        <vt:i4>5</vt:i4>
      </vt:variant>
      <vt:variant>
        <vt:lpwstr/>
      </vt:variant>
      <vt:variant>
        <vt:lpwstr>_Toc238829252</vt:lpwstr>
      </vt:variant>
      <vt:variant>
        <vt:i4>1048634</vt:i4>
      </vt:variant>
      <vt:variant>
        <vt:i4>71</vt:i4>
      </vt:variant>
      <vt:variant>
        <vt:i4>0</vt:i4>
      </vt:variant>
      <vt:variant>
        <vt:i4>5</vt:i4>
      </vt:variant>
      <vt:variant>
        <vt:lpwstr/>
      </vt:variant>
      <vt:variant>
        <vt:lpwstr>_Toc238829251</vt:lpwstr>
      </vt:variant>
      <vt:variant>
        <vt:i4>1048634</vt:i4>
      </vt:variant>
      <vt:variant>
        <vt:i4>65</vt:i4>
      </vt:variant>
      <vt:variant>
        <vt:i4>0</vt:i4>
      </vt:variant>
      <vt:variant>
        <vt:i4>5</vt:i4>
      </vt:variant>
      <vt:variant>
        <vt:lpwstr/>
      </vt:variant>
      <vt:variant>
        <vt:lpwstr>_Toc238829250</vt:lpwstr>
      </vt:variant>
      <vt:variant>
        <vt:i4>1114170</vt:i4>
      </vt:variant>
      <vt:variant>
        <vt:i4>59</vt:i4>
      </vt:variant>
      <vt:variant>
        <vt:i4>0</vt:i4>
      </vt:variant>
      <vt:variant>
        <vt:i4>5</vt:i4>
      </vt:variant>
      <vt:variant>
        <vt:lpwstr/>
      </vt:variant>
      <vt:variant>
        <vt:lpwstr>_Toc238829249</vt:lpwstr>
      </vt:variant>
      <vt:variant>
        <vt:i4>1114170</vt:i4>
      </vt:variant>
      <vt:variant>
        <vt:i4>53</vt:i4>
      </vt:variant>
      <vt:variant>
        <vt:i4>0</vt:i4>
      </vt:variant>
      <vt:variant>
        <vt:i4>5</vt:i4>
      </vt:variant>
      <vt:variant>
        <vt:lpwstr/>
      </vt:variant>
      <vt:variant>
        <vt:lpwstr>_Toc238829248</vt:lpwstr>
      </vt:variant>
      <vt:variant>
        <vt:i4>1114170</vt:i4>
      </vt:variant>
      <vt:variant>
        <vt:i4>47</vt:i4>
      </vt:variant>
      <vt:variant>
        <vt:i4>0</vt:i4>
      </vt:variant>
      <vt:variant>
        <vt:i4>5</vt:i4>
      </vt:variant>
      <vt:variant>
        <vt:lpwstr/>
      </vt:variant>
      <vt:variant>
        <vt:lpwstr>_Toc238829247</vt:lpwstr>
      </vt:variant>
      <vt:variant>
        <vt:i4>1114170</vt:i4>
      </vt:variant>
      <vt:variant>
        <vt:i4>41</vt:i4>
      </vt:variant>
      <vt:variant>
        <vt:i4>0</vt:i4>
      </vt:variant>
      <vt:variant>
        <vt:i4>5</vt:i4>
      </vt:variant>
      <vt:variant>
        <vt:lpwstr/>
      </vt:variant>
      <vt:variant>
        <vt:lpwstr>_Toc238829246</vt:lpwstr>
      </vt:variant>
      <vt:variant>
        <vt:i4>1114170</vt:i4>
      </vt:variant>
      <vt:variant>
        <vt:i4>35</vt:i4>
      </vt:variant>
      <vt:variant>
        <vt:i4>0</vt:i4>
      </vt:variant>
      <vt:variant>
        <vt:i4>5</vt:i4>
      </vt:variant>
      <vt:variant>
        <vt:lpwstr/>
      </vt:variant>
      <vt:variant>
        <vt:lpwstr>_Toc238829245</vt:lpwstr>
      </vt:variant>
      <vt:variant>
        <vt:i4>1114170</vt:i4>
      </vt:variant>
      <vt:variant>
        <vt:i4>29</vt:i4>
      </vt:variant>
      <vt:variant>
        <vt:i4>0</vt:i4>
      </vt:variant>
      <vt:variant>
        <vt:i4>5</vt:i4>
      </vt:variant>
      <vt:variant>
        <vt:lpwstr/>
      </vt:variant>
      <vt:variant>
        <vt:lpwstr>_Toc238829244</vt:lpwstr>
      </vt:variant>
      <vt:variant>
        <vt:i4>1114170</vt:i4>
      </vt:variant>
      <vt:variant>
        <vt:i4>23</vt:i4>
      </vt:variant>
      <vt:variant>
        <vt:i4>0</vt:i4>
      </vt:variant>
      <vt:variant>
        <vt:i4>5</vt:i4>
      </vt:variant>
      <vt:variant>
        <vt:lpwstr/>
      </vt:variant>
      <vt:variant>
        <vt:lpwstr>_Toc238829243</vt:lpwstr>
      </vt:variant>
      <vt:variant>
        <vt:i4>1114170</vt:i4>
      </vt:variant>
      <vt:variant>
        <vt:i4>17</vt:i4>
      </vt:variant>
      <vt:variant>
        <vt:i4>0</vt:i4>
      </vt:variant>
      <vt:variant>
        <vt:i4>5</vt:i4>
      </vt:variant>
      <vt:variant>
        <vt:lpwstr/>
      </vt:variant>
      <vt:variant>
        <vt:lpwstr>_Toc238829242</vt:lpwstr>
      </vt:variant>
      <vt:variant>
        <vt:i4>1114170</vt:i4>
      </vt:variant>
      <vt:variant>
        <vt:i4>11</vt:i4>
      </vt:variant>
      <vt:variant>
        <vt:i4>0</vt:i4>
      </vt:variant>
      <vt:variant>
        <vt:i4>5</vt:i4>
      </vt:variant>
      <vt:variant>
        <vt:lpwstr/>
      </vt:variant>
      <vt:variant>
        <vt:lpwstr>_Toc238829241</vt:lpwstr>
      </vt:variant>
      <vt:variant>
        <vt:i4>1114170</vt:i4>
      </vt:variant>
      <vt:variant>
        <vt:i4>5</vt:i4>
      </vt:variant>
      <vt:variant>
        <vt:i4>0</vt:i4>
      </vt:variant>
      <vt:variant>
        <vt:i4>5</vt:i4>
      </vt:variant>
      <vt:variant>
        <vt:lpwstr/>
      </vt:variant>
      <vt:variant>
        <vt:lpwstr>_Toc238829240</vt:lpwstr>
      </vt:variant>
      <vt:variant>
        <vt:i4>3735574</vt:i4>
      </vt:variant>
      <vt:variant>
        <vt:i4>0</vt:i4>
      </vt:variant>
      <vt:variant>
        <vt:i4>0</vt:i4>
      </vt:variant>
      <vt:variant>
        <vt:i4>5</vt:i4>
      </vt:variant>
      <vt:variant>
        <vt:lpwstr>mailto:cme@northwestern.edu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Sheryl A Corey</cp:lastModifiedBy>
  <cp:revision>5</cp:revision>
  <dcterms:created xsi:type="dcterms:W3CDTF">2026-08-28T22:08:00Z</dcterms:created>
  <dcterms:modified xsi:type="dcterms:W3CDTF">2026-08-28T22:44:00Z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0x010100BB385AA90A35F046A2A1588D2F1F4B8D</vt:lpwstr>
  </property>
  <property fmtid="{D5CDD505-2E9C-101B-9397-08002B2CF9AE}" pid="3" name="MediaServiceImageTags">
    <vt:lpwstr/>
  </property>
</Properties>
</file>