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59B" w:rsidRPr="00873B10" w:rsidRDefault="008B059B" w:rsidP="008B059B">
      <w:pPr>
        <w:rPr>
          <w:rFonts w:ascii="Calibri" w:hAnsi="Calibri"/>
          <w:sz w:val="20"/>
          <w:szCs w:val="20"/>
        </w:rPr>
      </w:pPr>
    </w:p>
    <w:p w:rsidR="00A040F6" w:rsidRDefault="00A040F6" w:rsidP="00E244C6">
      <w:pPr>
        <w:pStyle w:val="Heading1"/>
        <w:rPr>
          <w:rFonts w:ascii="Calibri" w:hAnsi="Calibri"/>
        </w:rPr>
      </w:pPr>
      <w:bookmarkStart w:id="0" w:name="_Toc177188149"/>
      <w:bookmarkStart w:id="1" w:name="_Toc401304599"/>
      <w:bookmarkStart w:id="2" w:name="_Toc489540640"/>
      <w:r>
        <w:rPr>
          <w:rFonts w:ascii="Calibri" w:hAnsi="Calibri"/>
        </w:rPr>
        <w:t>Pro</w:t>
      </w:r>
      <w:r w:rsidR="00AC0C05">
        <w:rPr>
          <w:rFonts w:ascii="Calibri" w:hAnsi="Calibri"/>
        </w:rPr>
        <w:t>c</w:t>
      </w:r>
      <w:bookmarkStart w:id="3" w:name="_GoBack"/>
      <w:bookmarkEnd w:id="3"/>
      <w:r>
        <w:rPr>
          <w:rFonts w:ascii="Calibri" w:hAnsi="Calibri"/>
        </w:rPr>
        <w:t>edures &amp; Policies</w:t>
      </w:r>
      <w:bookmarkEnd w:id="2"/>
      <w:r>
        <w:rPr>
          <w:rFonts w:ascii="Calibri" w:hAnsi="Calibri"/>
        </w:rPr>
        <w:t xml:space="preserve"> </w:t>
      </w:r>
    </w:p>
    <w:p w:rsidR="00A040F6" w:rsidRDefault="00A040F6" w:rsidP="00E244C6">
      <w:pPr>
        <w:pStyle w:val="Heading1"/>
        <w:rPr>
          <w:rFonts w:ascii="Calibri" w:hAnsi="Calibri"/>
        </w:rPr>
      </w:pPr>
    </w:p>
    <w:p w:rsidR="00A040F6" w:rsidRPr="00C619D5" w:rsidRDefault="00E244C6" w:rsidP="00A040F6">
      <w:pPr>
        <w:pStyle w:val="TOC2"/>
        <w:ind w:left="0"/>
        <w:rPr>
          <w:b/>
        </w:rPr>
      </w:pPr>
      <w:r w:rsidRPr="00C619D5">
        <w:rPr>
          <w:b/>
        </w:rPr>
        <w:t>Table of Contents</w:t>
      </w:r>
      <w:bookmarkEnd w:id="0"/>
      <w:bookmarkEnd w:id="1"/>
    </w:p>
    <w:p w:rsidR="00A040F6" w:rsidRDefault="00000FDC" w:rsidP="00A040F6">
      <w:pPr>
        <w:pStyle w:val="TOC2"/>
        <w:rPr>
          <w:rFonts w:asciiTheme="minorHAnsi" w:eastAsiaTheme="minorEastAsia" w:hAnsiTheme="minorHAnsi" w:cstheme="minorBidi"/>
          <w:noProof/>
          <w:sz w:val="22"/>
          <w:szCs w:val="22"/>
        </w:rPr>
      </w:pPr>
      <w:r w:rsidRPr="00873B10">
        <w:fldChar w:fldCharType="begin"/>
      </w:r>
      <w:r w:rsidRPr="00873B10">
        <w:instrText xml:space="preserve"> TOC \o "1-3" \h \z \u </w:instrText>
      </w:r>
      <w:r w:rsidRPr="00873B10">
        <w:fldChar w:fldCharType="separate"/>
      </w:r>
    </w:p>
    <w:sdt>
      <w:sdtPr>
        <w:id w:val="-505679044"/>
        <w:docPartObj>
          <w:docPartGallery w:val="Table of Contents"/>
          <w:docPartUnique/>
        </w:docPartObj>
      </w:sdtPr>
      <w:sdtEndPr>
        <w:rPr>
          <w:rFonts w:ascii="Times New Roman" w:eastAsia="Times New Roman" w:hAnsi="Times New Roman" w:cs="Times New Roman"/>
          <w:b/>
          <w:bCs/>
          <w:noProof/>
          <w:color w:val="auto"/>
          <w:sz w:val="24"/>
          <w:szCs w:val="24"/>
        </w:rPr>
      </w:sdtEndPr>
      <w:sdtContent>
        <w:p w:rsidR="00A040F6" w:rsidRDefault="00A040F6" w:rsidP="00A040F6">
          <w:pPr>
            <w:pStyle w:val="TOCHeading"/>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rsidR="00A040F6" w:rsidRDefault="00A040F6" w:rsidP="00A040F6">
          <w:pPr>
            <w:pStyle w:val="TOC2"/>
            <w:rPr>
              <w:rFonts w:asciiTheme="minorHAnsi" w:eastAsiaTheme="minorEastAsia" w:hAnsiTheme="minorHAnsi" w:cstheme="minorBidi"/>
              <w:noProof/>
              <w:sz w:val="22"/>
              <w:szCs w:val="22"/>
            </w:rPr>
          </w:pPr>
          <w:hyperlink w:anchor="_Toc489540642" w:history="1">
            <w:r w:rsidR="004F7641">
              <w:rPr>
                <w:rStyle w:val="Hyperlink"/>
                <w:noProof/>
              </w:rPr>
              <w:t>CME Review Committee Responsibilities</w:t>
            </w:r>
            <w:r w:rsidRPr="00950C58">
              <w:rPr>
                <w:rStyle w:val="Hyperlink"/>
                <w:noProof/>
              </w:rPr>
              <w:t>:</w:t>
            </w:r>
            <w:r>
              <w:rPr>
                <w:noProof/>
                <w:webHidden/>
              </w:rPr>
              <w:tab/>
            </w:r>
            <w:r>
              <w:rPr>
                <w:noProof/>
                <w:webHidden/>
              </w:rPr>
              <w:fldChar w:fldCharType="begin"/>
            </w:r>
            <w:r>
              <w:rPr>
                <w:noProof/>
                <w:webHidden/>
              </w:rPr>
              <w:instrText xml:space="preserve"> PAGEREF _Toc489540642 \h </w:instrText>
            </w:r>
            <w:r>
              <w:rPr>
                <w:noProof/>
                <w:webHidden/>
              </w:rPr>
            </w:r>
            <w:r>
              <w:rPr>
                <w:noProof/>
                <w:webHidden/>
              </w:rPr>
              <w:fldChar w:fldCharType="separate"/>
            </w:r>
            <w:r>
              <w:rPr>
                <w:noProof/>
                <w:webHidden/>
              </w:rPr>
              <w:t>2</w:t>
            </w:r>
            <w:r>
              <w:rPr>
                <w:noProof/>
                <w:webHidden/>
              </w:rPr>
              <w:fldChar w:fldCharType="end"/>
            </w:r>
          </w:hyperlink>
        </w:p>
        <w:p w:rsidR="00A040F6" w:rsidRDefault="00A040F6" w:rsidP="00A040F6">
          <w:pPr>
            <w:pStyle w:val="TOC2"/>
            <w:rPr>
              <w:rFonts w:asciiTheme="minorHAnsi" w:eastAsiaTheme="minorEastAsia" w:hAnsiTheme="minorHAnsi" w:cstheme="minorBidi"/>
              <w:noProof/>
              <w:sz w:val="22"/>
              <w:szCs w:val="22"/>
            </w:rPr>
          </w:pPr>
          <w:hyperlink w:anchor="_Toc489540643" w:history="1">
            <w:r w:rsidRPr="00950C58">
              <w:rPr>
                <w:rStyle w:val="Hyperlink"/>
                <w:noProof/>
              </w:rPr>
              <w:t>Industry / Commercial Support Agreements:</w:t>
            </w:r>
            <w:r>
              <w:rPr>
                <w:noProof/>
                <w:webHidden/>
              </w:rPr>
              <w:tab/>
            </w:r>
            <w:r>
              <w:rPr>
                <w:noProof/>
                <w:webHidden/>
              </w:rPr>
              <w:fldChar w:fldCharType="begin"/>
            </w:r>
            <w:r>
              <w:rPr>
                <w:noProof/>
                <w:webHidden/>
              </w:rPr>
              <w:instrText xml:space="preserve"> PAGEREF _Toc489540643 \h </w:instrText>
            </w:r>
            <w:r>
              <w:rPr>
                <w:noProof/>
                <w:webHidden/>
              </w:rPr>
            </w:r>
            <w:r>
              <w:rPr>
                <w:noProof/>
                <w:webHidden/>
              </w:rPr>
              <w:fldChar w:fldCharType="separate"/>
            </w:r>
            <w:r>
              <w:rPr>
                <w:noProof/>
                <w:webHidden/>
              </w:rPr>
              <w:t>3</w:t>
            </w:r>
            <w:r>
              <w:rPr>
                <w:noProof/>
                <w:webHidden/>
              </w:rPr>
              <w:fldChar w:fldCharType="end"/>
            </w:r>
          </w:hyperlink>
        </w:p>
        <w:p w:rsidR="00A040F6" w:rsidRDefault="00A040F6" w:rsidP="00A040F6">
          <w:pPr>
            <w:pStyle w:val="TOC2"/>
            <w:rPr>
              <w:rFonts w:asciiTheme="minorHAnsi" w:eastAsiaTheme="minorEastAsia" w:hAnsiTheme="minorHAnsi" w:cstheme="minorBidi"/>
              <w:noProof/>
              <w:sz w:val="22"/>
              <w:szCs w:val="22"/>
            </w:rPr>
          </w:pPr>
          <w:hyperlink w:anchor="_Toc489540644" w:history="1">
            <w:r w:rsidRPr="00950C58">
              <w:rPr>
                <w:rStyle w:val="Hyperlink"/>
                <w:noProof/>
              </w:rPr>
              <w:t>Grant Submission and Reconciliation:</w:t>
            </w:r>
            <w:r>
              <w:rPr>
                <w:noProof/>
                <w:webHidden/>
              </w:rPr>
              <w:tab/>
            </w:r>
            <w:r>
              <w:rPr>
                <w:noProof/>
                <w:webHidden/>
              </w:rPr>
              <w:fldChar w:fldCharType="begin"/>
            </w:r>
            <w:r>
              <w:rPr>
                <w:noProof/>
                <w:webHidden/>
              </w:rPr>
              <w:instrText xml:space="preserve"> PAGEREF _Toc489540644 \h </w:instrText>
            </w:r>
            <w:r>
              <w:rPr>
                <w:noProof/>
                <w:webHidden/>
              </w:rPr>
            </w:r>
            <w:r>
              <w:rPr>
                <w:noProof/>
                <w:webHidden/>
              </w:rPr>
              <w:fldChar w:fldCharType="separate"/>
            </w:r>
            <w:r>
              <w:rPr>
                <w:noProof/>
                <w:webHidden/>
              </w:rPr>
              <w:t>3</w:t>
            </w:r>
            <w:r>
              <w:rPr>
                <w:noProof/>
                <w:webHidden/>
              </w:rPr>
              <w:fldChar w:fldCharType="end"/>
            </w:r>
          </w:hyperlink>
        </w:p>
        <w:p w:rsidR="00A040F6" w:rsidRDefault="00A040F6" w:rsidP="00A040F6">
          <w:pPr>
            <w:pStyle w:val="TOC2"/>
            <w:rPr>
              <w:rFonts w:asciiTheme="minorHAnsi" w:eastAsiaTheme="minorEastAsia" w:hAnsiTheme="minorHAnsi" w:cstheme="minorBidi"/>
              <w:noProof/>
              <w:sz w:val="22"/>
              <w:szCs w:val="22"/>
            </w:rPr>
          </w:pPr>
          <w:hyperlink w:anchor="_Toc489540645" w:history="1">
            <w:r w:rsidRPr="00950C58">
              <w:rPr>
                <w:rStyle w:val="Hyperlink"/>
                <w:noProof/>
              </w:rPr>
              <w:t>Code of Professionalism for Commercial Company Representatives at a CME Activity:</w:t>
            </w:r>
            <w:r>
              <w:rPr>
                <w:noProof/>
                <w:webHidden/>
              </w:rPr>
              <w:tab/>
            </w:r>
            <w:r>
              <w:rPr>
                <w:noProof/>
                <w:webHidden/>
              </w:rPr>
              <w:fldChar w:fldCharType="begin"/>
            </w:r>
            <w:r>
              <w:rPr>
                <w:noProof/>
                <w:webHidden/>
              </w:rPr>
              <w:instrText xml:space="preserve"> PAGEREF _Toc489540645 \h </w:instrText>
            </w:r>
            <w:r>
              <w:rPr>
                <w:noProof/>
                <w:webHidden/>
              </w:rPr>
            </w:r>
            <w:r>
              <w:rPr>
                <w:noProof/>
                <w:webHidden/>
              </w:rPr>
              <w:fldChar w:fldCharType="separate"/>
            </w:r>
            <w:r>
              <w:rPr>
                <w:noProof/>
                <w:webHidden/>
              </w:rPr>
              <w:t>3</w:t>
            </w:r>
            <w:r>
              <w:rPr>
                <w:noProof/>
                <w:webHidden/>
              </w:rPr>
              <w:fldChar w:fldCharType="end"/>
            </w:r>
          </w:hyperlink>
        </w:p>
        <w:p w:rsidR="00A040F6" w:rsidRDefault="00A040F6" w:rsidP="00A040F6">
          <w:pPr>
            <w:pStyle w:val="TOC2"/>
            <w:rPr>
              <w:rFonts w:asciiTheme="minorHAnsi" w:eastAsiaTheme="minorEastAsia" w:hAnsiTheme="minorHAnsi" w:cstheme="minorBidi"/>
              <w:noProof/>
              <w:sz w:val="22"/>
              <w:szCs w:val="22"/>
            </w:rPr>
          </w:pPr>
          <w:hyperlink w:anchor="_Toc489540646" w:history="1">
            <w:r w:rsidRPr="00950C58">
              <w:rPr>
                <w:rStyle w:val="Hyperlink"/>
                <w:noProof/>
              </w:rPr>
              <w:t>Exhibitor Policies:</w:t>
            </w:r>
            <w:r>
              <w:rPr>
                <w:noProof/>
                <w:webHidden/>
              </w:rPr>
              <w:tab/>
            </w:r>
            <w:r>
              <w:rPr>
                <w:noProof/>
                <w:webHidden/>
              </w:rPr>
              <w:fldChar w:fldCharType="begin"/>
            </w:r>
            <w:r>
              <w:rPr>
                <w:noProof/>
                <w:webHidden/>
              </w:rPr>
              <w:instrText xml:space="preserve"> PAGEREF _Toc489540646 \h </w:instrText>
            </w:r>
            <w:r>
              <w:rPr>
                <w:noProof/>
                <w:webHidden/>
              </w:rPr>
            </w:r>
            <w:r>
              <w:rPr>
                <w:noProof/>
                <w:webHidden/>
              </w:rPr>
              <w:fldChar w:fldCharType="separate"/>
            </w:r>
            <w:r>
              <w:rPr>
                <w:noProof/>
                <w:webHidden/>
              </w:rPr>
              <w:t>4</w:t>
            </w:r>
            <w:r>
              <w:rPr>
                <w:noProof/>
                <w:webHidden/>
              </w:rPr>
              <w:fldChar w:fldCharType="end"/>
            </w:r>
          </w:hyperlink>
        </w:p>
        <w:p w:rsidR="00A040F6" w:rsidRDefault="00A040F6" w:rsidP="00A040F6">
          <w:pPr>
            <w:pStyle w:val="TOC2"/>
            <w:rPr>
              <w:rFonts w:asciiTheme="minorHAnsi" w:eastAsiaTheme="minorEastAsia" w:hAnsiTheme="minorHAnsi" w:cstheme="minorBidi"/>
              <w:noProof/>
              <w:sz w:val="22"/>
              <w:szCs w:val="22"/>
            </w:rPr>
          </w:pPr>
          <w:hyperlink w:anchor="_Toc489540647" w:history="1">
            <w:r w:rsidRPr="00950C58">
              <w:rPr>
                <w:rStyle w:val="Hyperlink"/>
                <w:noProof/>
              </w:rPr>
              <w:t>Advertisement Policies:</w:t>
            </w:r>
            <w:r>
              <w:rPr>
                <w:noProof/>
                <w:webHidden/>
              </w:rPr>
              <w:tab/>
            </w:r>
            <w:r>
              <w:rPr>
                <w:noProof/>
                <w:webHidden/>
              </w:rPr>
              <w:fldChar w:fldCharType="begin"/>
            </w:r>
            <w:r>
              <w:rPr>
                <w:noProof/>
                <w:webHidden/>
              </w:rPr>
              <w:instrText xml:space="preserve"> PAGEREF _Toc489540647 \h </w:instrText>
            </w:r>
            <w:r>
              <w:rPr>
                <w:noProof/>
                <w:webHidden/>
              </w:rPr>
            </w:r>
            <w:r>
              <w:rPr>
                <w:noProof/>
                <w:webHidden/>
              </w:rPr>
              <w:fldChar w:fldCharType="separate"/>
            </w:r>
            <w:r>
              <w:rPr>
                <w:noProof/>
                <w:webHidden/>
              </w:rPr>
              <w:t>4</w:t>
            </w:r>
            <w:r>
              <w:rPr>
                <w:noProof/>
                <w:webHidden/>
              </w:rPr>
              <w:fldChar w:fldCharType="end"/>
            </w:r>
          </w:hyperlink>
        </w:p>
        <w:p w:rsidR="00A040F6" w:rsidRDefault="00A040F6" w:rsidP="00A040F6">
          <w:pPr>
            <w:pStyle w:val="TOC2"/>
            <w:rPr>
              <w:rFonts w:asciiTheme="minorHAnsi" w:eastAsiaTheme="minorEastAsia" w:hAnsiTheme="minorHAnsi" w:cstheme="minorBidi"/>
              <w:noProof/>
              <w:sz w:val="22"/>
              <w:szCs w:val="22"/>
            </w:rPr>
          </w:pPr>
          <w:hyperlink w:anchor="_Toc489540648" w:history="1">
            <w:r w:rsidRPr="00950C58">
              <w:rPr>
                <w:rStyle w:val="Hyperlink"/>
                <w:noProof/>
              </w:rPr>
              <w:t>CME Certificates:</w:t>
            </w:r>
            <w:r>
              <w:rPr>
                <w:noProof/>
                <w:webHidden/>
              </w:rPr>
              <w:tab/>
            </w:r>
            <w:r w:rsidR="00E15BBF">
              <w:rPr>
                <w:noProof/>
                <w:webHidden/>
              </w:rPr>
              <w:t>4</w:t>
            </w:r>
          </w:hyperlink>
        </w:p>
        <w:p w:rsidR="00A040F6" w:rsidRDefault="00A040F6" w:rsidP="00A040F6">
          <w:pPr>
            <w:pStyle w:val="TOC2"/>
            <w:rPr>
              <w:rFonts w:asciiTheme="minorHAnsi" w:eastAsiaTheme="minorEastAsia" w:hAnsiTheme="minorHAnsi" w:cstheme="minorBidi"/>
              <w:noProof/>
              <w:sz w:val="22"/>
              <w:szCs w:val="22"/>
            </w:rPr>
          </w:pPr>
          <w:hyperlink w:anchor="_Toc489540649" w:history="1">
            <w:r w:rsidRPr="00950C58">
              <w:rPr>
                <w:rStyle w:val="Hyperlink"/>
                <w:noProof/>
              </w:rPr>
              <w:t>Activity Postponement or Cancellation:</w:t>
            </w:r>
            <w:r>
              <w:rPr>
                <w:noProof/>
                <w:webHidden/>
              </w:rPr>
              <w:tab/>
            </w:r>
            <w:r w:rsidR="00E15BBF">
              <w:rPr>
                <w:noProof/>
                <w:webHidden/>
              </w:rPr>
              <w:t>4</w:t>
            </w:r>
          </w:hyperlink>
        </w:p>
        <w:p w:rsidR="00A040F6" w:rsidRDefault="00A040F6" w:rsidP="00A040F6">
          <w:pPr>
            <w:pStyle w:val="TOC2"/>
            <w:rPr>
              <w:rFonts w:asciiTheme="minorHAnsi" w:eastAsiaTheme="minorEastAsia" w:hAnsiTheme="minorHAnsi" w:cstheme="minorBidi"/>
              <w:noProof/>
              <w:sz w:val="22"/>
              <w:szCs w:val="22"/>
            </w:rPr>
          </w:pPr>
          <w:hyperlink w:anchor="_Toc489540650" w:history="1">
            <w:r w:rsidRPr="00950C58">
              <w:rPr>
                <w:rStyle w:val="Hyperlink"/>
                <w:noProof/>
              </w:rPr>
              <w:t>Activities Not In Compliance with the ACCME, AMA or FSM Policies:</w:t>
            </w:r>
            <w:r>
              <w:rPr>
                <w:noProof/>
                <w:webHidden/>
              </w:rPr>
              <w:tab/>
            </w:r>
            <w:r w:rsidR="00E15BBF">
              <w:rPr>
                <w:noProof/>
                <w:webHidden/>
              </w:rPr>
              <w:t>4</w:t>
            </w:r>
          </w:hyperlink>
        </w:p>
        <w:p w:rsidR="00A040F6" w:rsidRDefault="00A040F6">
          <w:r>
            <w:rPr>
              <w:b/>
              <w:bCs/>
              <w:noProof/>
            </w:rPr>
            <w:fldChar w:fldCharType="end"/>
          </w:r>
        </w:p>
      </w:sdtContent>
    </w:sdt>
    <w:p w:rsidR="00F25A22" w:rsidRDefault="00F25A22" w:rsidP="00A040F6">
      <w:pPr>
        <w:pStyle w:val="TOC2"/>
        <w:rPr>
          <w:rFonts w:eastAsiaTheme="minorEastAsia"/>
          <w:noProof/>
        </w:rPr>
      </w:pPr>
    </w:p>
    <w:p w:rsidR="00D85C6B" w:rsidRDefault="00D85C6B" w:rsidP="00D85C6B">
      <w:pPr>
        <w:rPr>
          <w:rFonts w:eastAsiaTheme="minorEastAsia"/>
        </w:rPr>
      </w:pPr>
    </w:p>
    <w:p w:rsidR="00D85C6B" w:rsidRDefault="00D85C6B" w:rsidP="00D85C6B">
      <w:pPr>
        <w:rPr>
          <w:rFonts w:eastAsiaTheme="minorEastAsia"/>
        </w:rPr>
      </w:pPr>
    </w:p>
    <w:p w:rsidR="00D85C6B" w:rsidRPr="00D85C6B" w:rsidRDefault="00D85C6B" w:rsidP="00D85C6B">
      <w:pPr>
        <w:rPr>
          <w:rFonts w:eastAsiaTheme="minorEastAsia"/>
        </w:rPr>
      </w:pPr>
    </w:p>
    <w:p w:rsidR="00F25A22" w:rsidRDefault="00F25A22">
      <w:pPr>
        <w:pStyle w:val="TOC1"/>
        <w:rPr>
          <w:rFonts w:asciiTheme="minorHAnsi" w:eastAsiaTheme="minorEastAsia" w:hAnsiTheme="minorHAnsi" w:cstheme="minorBidi"/>
          <w:b w:val="0"/>
          <w:bCs w:val="0"/>
          <w:i w:val="0"/>
          <w:iCs w:val="0"/>
          <w:color w:val="auto"/>
          <w:sz w:val="22"/>
          <w:szCs w:val="22"/>
        </w:rPr>
      </w:pPr>
    </w:p>
    <w:p w:rsidR="00671AAB" w:rsidRPr="00873B10" w:rsidRDefault="00000FDC" w:rsidP="0096084B">
      <w:pPr>
        <w:pStyle w:val="Heading1"/>
        <w:jc w:val="left"/>
        <w:rPr>
          <w:rFonts w:ascii="Calibri" w:hAnsi="Calibri"/>
          <w:sz w:val="20"/>
          <w:szCs w:val="20"/>
        </w:rPr>
      </w:pPr>
      <w:r w:rsidRPr="00873B10">
        <w:rPr>
          <w:rFonts w:ascii="Calibri" w:hAnsi="Calibri"/>
          <w:sz w:val="24"/>
        </w:rPr>
        <w:fldChar w:fldCharType="end"/>
      </w:r>
      <w:r w:rsidR="008B059B" w:rsidRPr="00873B10">
        <w:rPr>
          <w:rFonts w:ascii="Calibri" w:hAnsi="Calibri"/>
          <w:sz w:val="24"/>
        </w:rPr>
        <w:br w:type="page"/>
      </w:r>
      <w:bookmarkStart w:id="4" w:name="_Toc148348334"/>
    </w:p>
    <w:p w:rsidR="003767F4" w:rsidRPr="00873B10" w:rsidRDefault="003767F4" w:rsidP="003767F4">
      <w:pPr>
        <w:tabs>
          <w:tab w:val="left" w:pos="720"/>
          <w:tab w:val="left" w:pos="1440"/>
          <w:tab w:val="left" w:pos="2160"/>
        </w:tabs>
        <w:ind w:right="720" w:hanging="720"/>
        <w:jc w:val="center"/>
        <w:rPr>
          <w:rFonts w:ascii="Calibri" w:hAnsi="Calibri"/>
          <w:b/>
          <w:sz w:val="20"/>
          <w:szCs w:val="20"/>
        </w:rPr>
      </w:pPr>
    </w:p>
    <w:p w:rsidR="00CF4971" w:rsidRPr="0096084B" w:rsidRDefault="00E9510C" w:rsidP="004F7641">
      <w:pPr>
        <w:pStyle w:val="Heading2"/>
        <w:rPr>
          <w:rFonts w:ascii="Calibri" w:hAnsi="Calibri"/>
          <w:b/>
          <w:bCs/>
          <w:color w:val="FF0000"/>
          <w:sz w:val="20"/>
        </w:rPr>
      </w:pPr>
      <w:r w:rsidRPr="00873B10">
        <w:rPr>
          <w:rFonts w:ascii="Calibri" w:hAnsi="Calibri"/>
          <w:sz w:val="20"/>
          <w:szCs w:val="20"/>
        </w:rPr>
        <w:tab/>
      </w:r>
      <w:r w:rsidR="00CF4971" w:rsidRPr="0096084B">
        <w:rPr>
          <w:rFonts w:ascii="Calibri" w:hAnsi="Calibri"/>
          <w:color w:val="FF0000"/>
          <w:sz w:val="20"/>
        </w:rPr>
        <w:t xml:space="preserve"> </w:t>
      </w:r>
    </w:p>
    <w:p w:rsidR="003767F4" w:rsidRPr="0096084B" w:rsidRDefault="003767F4" w:rsidP="003767F4">
      <w:pPr>
        <w:tabs>
          <w:tab w:val="left" w:pos="720"/>
          <w:tab w:val="left" w:pos="1440"/>
          <w:tab w:val="left" w:pos="2160"/>
        </w:tabs>
        <w:ind w:right="720"/>
        <w:jc w:val="center"/>
        <w:rPr>
          <w:rFonts w:ascii="Calibri" w:hAnsi="Calibri"/>
          <w:b/>
          <w:color w:val="FF0000"/>
          <w:sz w:val="20"/>
          <w:szCs w:val="20"/>
        </w:rPr>
      </w:pPr>
    </w:p>
    <w:p w:rsidR="003767F4" w:rsidRPr="004F7641" w:rsidRDefault="00E9510C" w:rsidP="00906527">
      <w:pPr>
        <w:pStyle w:val="Heading2"/>
        <w:rPr>
          <w:rFonts w:ascii="Calibri" w:hAnsi="Calibri"/>
          <w:i w:val="0"/>
          <w:sz w:val="20"/>
          <w:szCs w:val="20"/>
          <w:u w:val="single"/>
        </w:rPr>
      </w:pPr>
      <w:bookmarkStart w:id="5" w:name="_Toc148348313"/>
      <w:bookmarkStart w:id="6" w:name="_Toc147032433"/>
      <w:r w:rsidRPr="0096084B">
        <w:rPr>
          <w:rFonts w:ascii="Calibri" w:hAnsi="Calibri"/>
          <w:color w:val="FF0000"/>
          <w:sz w:val="20"/>
          <w:szCs w:val="20"/>
        </w:rPr>
        <w:tab/>
      </w:r>
      <w:bookmarkStart w:id="7" w:name="_Toc401304623"/>
      <w:bookmarkStart w:id="8" w:name="_Toc489540642"/>
      <w:r w:rsidR="003767F4" w:rsidRPr="004F7641">
        <w:rPr>
          <w:rFonts w:ascii="Calibri" w:hAnsi="Calibri"/>
          <w:i w:val="0"/>
          <w:sz w:val="20"/>
          <w:szCs w:val="20"/>
          <w:u w:val="single"/>
        </w:rPr>
        <w:t>CME Review Committee Schedule</w:t>
      </w:r>
      <w:bookmarkEnd w:id="5"/>
      <w:r w:rsidR="004F7641" w:rsidRPr="004F7641">
        <w:rPr>
          <w:rFonts w:ascii="Calibri" w:hAnsi="Calibri"/>
          <w:i w:val="0"/>
          <w:sz w:val="20"/>
          <w:szCs w:val="20"/>
          <w:u w:val="single"/>
        </w:rPr>
        <w:t xml:space="preserve"> &amp; </w:t>
      </w:r>
      <w:proofErr w:type="spellStart"/>
      <w:r w:rsidR="004F7641" w:rsidRPr="004F7641">
        <w:rPr>
          <w:rFonts w:ascii="Calibri" w:hAnsi="Calibri"/>
          <w:i w:val="0"/>
          <w:sz w:val="20"/>
          <w:szCs w:val="20"/>
          <w:u w:val="single"/>
        </w:rPr>
        <w:t>Responsbilties</w:t>
      </w:r>
      <w:proofErr w:type="spellEnd"/>
      <w:r w:rsidR="00283F6A" w:rsidRPr="004F7641">
        <w:rPr>
          <w:rFonts w:ascii="Calibri" w:hAnsi="Calibri"/>
          <w:i w:val="0"/>
          <w:sz w:val="20"/>
          <w:szCs w:val="20"/>
          <w:u w:val="single"/>
        </w:rPr>
        <w:t>:</w:t>
      </w:r>
      <w:bookmarkEnd w:id="7"/>
      <w:bookmarkEnd w:id="8"/>
    </w:p>
    <w:p w:rsidR="00E55F54" w:rsidRPr="004F7641" w:rsidRDefault="00E55F54" w:rsidP="00E55F54">
      <w:pPr>
        <w:tabs>
          <w:tab w:val="left" w:pos="720"/>
          <w:tab w:val="left" w:pos="1440"/>
          <w:tab w:val="left" w:pos="2160"/>
        </w:tabs>
        <w:ind w:left="720" w:right="720" w:hanging="720"/>
        <w:rPr>
          <w:rFonts w:ascii="Calibri" w:hAnsi="Calibri"/>
          <w:sz w:val="20"/>
          <w:szCs w:val="20"/>
        </w:rPr>
      </w:pPr>
      <w:r w:rsidRPr="004F7641">
        <w:rPr>
          <w:rFonts w:ascii="Calibri" w:hAnsi="Calibri"/>
          <w:sz w:val="20"/>
          <w:szCs w:val="20"/>
        </w:rPr>
        <w:tab/>
      </w:r>
      <w:r w:rsidR="003767F4" w:rsidRPr="004F7641">
        <w:rPr>
          <w:rFonts w:ascii="Calibri" w:hAnsi="Calibri"/>
          <w:sz w:val="20"/>
          <w:szCs w:val="20"/>
        </w:rPr>
        <w:t>The CME Review Committee</w:t>
      </w:r>
      <w:r w:rsidRPr="004F7641">
        <w:rPr>
          <w:rFonts w:ascii="Calibri" w:hAnsi="Calibri"/>
          <w:sz w:val="20"/>
          <w:szCs w:val="20"/>
        </w:rPr>
        <w:t xml:space="preserve"> meets the first Wednesday of the month to discuss applications.  Applications will be turned into the Office of CME 3 weeks prior to allow for adequate time for the committee members to review.  </w:t>
      </w:r>
      <w:r w:rsidR="00156FF8" w:rsidRPr="004F7641">
        <w:rPr>
          <w:rFonts w:ascii="Calibri" w:hAnsi="Calibri"/>
          <w:sz w:val="20"/>
          <w:szCs w:val="20"/>
        </w:rPr>
        <w:t xml:space="preserve">Dates of deadlines and committee meetings can be found on the Office of CME website.  </w:t>
      </w:r>
      <w:r w:rsidRPr="004F7641">
        <w:rPr>
          <w:rFonts w:ascii="Calibri" w:hAnsi="Calibri"/>
          <w:sz w:val="20"/>
          <w:szCs w:val="20"/>
        </w:rPr>
        <w:t>They</w:t>
      </w:r>
      <w:r w:rsidR="003767F4" w:rsidRPr="004F7641">
        <w:rPr>
          <w:rFonts w:ascii="Calibri" w:hAnsi="Calibri"/>
          <w:sz w:val="20"/>
          <w:szCs w:val="20"/>
        </w:rPr>
        <w:t xml:space="preserve"> will not accept applications submitted to the committee </w:t>
      </w:r>
      <w:r w:rsidR="003767F4" w:rsidRPr="004F7641">
        <w:rPr>
          <w:rFonts w:ascii="Calibri" w:hAnsi="Calibri"/>
          <w:sz w:val="20"/>
          <w:szCs w:val="20"/>
          <w:u w:val="single"/>
        </w:rPr>
        <w:t>less than 3 months prior</w:t>
      </w:r>
      <w:r w:rsidR="003767F4" w:rsidRPr="004F7641">
        <w:rPr>
          <w:rFonts w:ascii="Calibri" w:hAnsi="Calibri"/>
          <w:sz w:val="20"/>
          <w:szCs w:val="20"/>
        </w:rPr>
        <w:t xml:space="preserve"> to the date of the </w:t>
      </w:r>
      <w:r w:rsidR="00954342" w:rsidRPr="004F7641">
        <w:rPr>
          <w:rFonts w:ascii="Calibri" w:hAnsi="Calibri"/>
          <w:sz w:val="20"/>
          <w:szCs w:val="20"/>
        </w:rPr>
        <w:t>activity</w:t>
      </w:r>
      <w:r w:rsidR="004E7E07" w:rsidRPr="004F7641">
        <w:rPr>
          <w:rFonts w:ascii="Calibri" w:hAnsi="Calibri"/>
          <w:sz w:val="20"/>
          <w:szCs w:val="20"/>
        </w:rPr>
        <w:t>.</w:t>
      </w:r>
    </w:p>
    <w:p w:rsidR="00E55F54" w:rsidRPr="004F7641" w:rsidRDefault="00156FF8" w:rsidP="00E55F54">
      <w:pPr>
        <w:tabs>
          <w:tab w:val="left" w:pos="720"/>
          <w:tab w:val="left" w:pos="1440"/>
          <w:tab w:val="left" w:pos="2160"/>
        </w:tabs>
        <w:ind w:left="720" w:right="720" w:hanging="720"/>
        <w:rPr>
          <w:rFonts w:ascii="Calibri" w:hAnsi="Calibri"/>
          <w:sz w:val="20"/>
          <w:szCs w:val="20"/>
        </w:rPr>
      </w:pPr>
      <w:r w:rsidRPr="004F7641">
        <w:rPr>
          <w:rFonts w:ascii="Calibri" w:hAnsi="Calibri"/>
          <w:sz w:val="20"/>
          <w:szCs w:val="20"/>
        </w:rPr>
        <w:tab/>
      </w:r>
    </w:p>
    <w:p w:rsidR="00E55F54" w:rsidRPr="004F7641" w:rsidRDefault="00E55F54" w:rsidP="00E55F54">
      <w:pPr>
        <w:tabs>
          <w:tab w:val="left" w:pos="720"/>
          <w:tab w:val="left" w:pos="1440"/>
          <w:tab w:val="left" w:pos="2160"/>
        </w:tabs>
        <w:ind w:left="720" w:right="720" w:hanging="720"/>
        <w:rPr>
          <w:rFonts w:ascii="Calibri" w:hAnsi="Calibri"/>
          <w:sz w:val="20"/>
          <w:szCs w:val="20"/>
        </w:rPr>
      </w:pPr>
      <w:r w:rsidRPr="004F7641">
        <w:rPr>
          <w:rFonts w:ascii="Calibri" w:hAnsi="Calibri"/>
          <w:sz w:val="20"/>
          <w:szCs w:val="20"/>
        </w:rPr>
        <w:tab/>
        <w:t>The course director will be informed of the committee’s discussions the week after the committee meeting.</w:t>
      </w:r>
    </w:p>
    <w:bookmarkEnd w:id="6"/>
    <w:p w:rsidR="00156FF8" w:rsidRPr="004F7641" w:rsidRDefault="00156FF8" w:rsidP="003767F4">
      <w:pPr>
        <w:tabs>
          <w:tab w:val="left" w:pos="720"/>
          <w:tab w:val="left" w:pos="1440"/>
          <w:tab w:val="left" w:pos="2160"/>
        </w:tabs>
        <w:ind w:right="720"/>
        <w:rPr>
          <w:rFonts w:ascii="Calibri" w:hAnsi="Calibri"/>
          <w:sz w:val="20"/>
          <w:szCs w:val="20"/>
        </w:rPr>
      </w:pPr>
    </w:p>
    <w:p w:rsidR="003767F4" w:rsidRPr="004F7641" w:rsidRDefault="00E9510C" w:rsidP="003767F4">
      <w:pPr>
        <w:tabs>
          <w:tab w:val="left" w:pos="720"/>
          <w:tab w:val="left" w:pos="1440"/>
          <w:tab w:val="left" w:pos="2160"/>
        </w:tabs>
        <w:ind w:right="720"/>
        <w:rPr>
          <w:rFonts w:ascii="Calibri" w:hAnsi="Calibri"/>
          <w:sz w:val="20"/>
          <w:szCs w:val="20"/>
        </w:rPr>
      </w:pPr>
      <w:r w:rsidRPr="004F7641">
        <w:rPr>
          <w:rFonts w:ascii="Calibri" w:hAnsi="Calibri"/>
          <w:sz w:val="20"/>
          <w:szCs w:val="20"/>
        </w:rPr>
        <w:tab/>
      </w:r>
      <w:r w:rsidR="003767F4" w:rsidRPr="004F7641">
        <w:rPr>
          <w:rFonts w:ascii="Calibri" w:hAnsi="Calibri"/>
          <w:sz w:val="20"/>
          <w:szCs w:val="20"/>
        </w:rPr>
        <w:t>The committee is responsible for:</w:t>
      </w:r>
    </w:p>
    <w:p w:rsidR="00D0796A" w:rsidRPr="004F7641" w:rsidRDefault="003767F4" w:rsidP="00CC5B27">
      <w:pPr>
        <w:numPr>
          <w:ilvl w:val="1"/>
          <w:numId w:val="8"/>
        </w:numPr>
        <w:tabs>
          <w:tab w:val="clear" w:pos="1800"/>
          <w:tab w:val="left" w:pos="1440"/>
          <w:tab w:val="left" w:pos="2160"/>
        </w:tabs>
        <w:ind w:left="1440" w:right="720" w:hanging="720"/>
        <w:rPr>
          <w:rFonts w:ascii="Calibri" w:hAnsi="Calibri"/>
          <w:sz w:val="20"/>
          <w:szCs w:val="20"/>
        </w:rPr>
      </w:pPr>
      <w:r w:rsidRPr="004F7641">
        <w:rPr>
          <w:rFonts w:ascii="Calibri" w:hAnsi="Calibri"/>
          <w:sz w:val="20"/>
          <w:szCs w:val="20"/>
        </w:rPr>
        <w:t>Providing o</w:t>
      </w:r>
      <w:r w:rsidR="0012590D" w:rsidRPr="004F7641">
        <w:rPr>
          <w:rFonts w:ascii="Calibri" w:hAnsi="Calibri"/>
          <w:sz w:val="20"/>
          <w:szCs w:val="20"/>
        </w:rPr>
        <w:t xml:space="preserve">versight for the conduct of FSM </w:t>
      </w:r>
      <w:r w:rsidRPr="004F7641">
        <w:rPr>
          <w:rFonts w:ascii="Calibri" w:hAnsi="Calibri"/>
          <w:sz w:val="20"/>
          <w:szCs w:val="20"/>
        </w:rPr>
        <w:t>continuing medical education activities</w:t>
      </w:r>
    </w:p>
    <w:p w:rsidR="00D0796A" w:rsidRPr="004F7641" w:rsidRDefault="00AB601F" w:rsidP="00CC5B27">
      <w:pPr>
        <w:numPr>
          <w:ilvl w:val="1"/>
          <w:numId w:val="8"/>
        </w:numPr>
        <w:tabs>
          <w:tab w:val="clear" w:pos="1800"/>
          <w:tab w:val="left" w:pos="1440"/>
          <w:tab w:val="left" w:pos="2160"/>
        </w:tabs>
        <w:ind w:left="1440" w:right="720" w:hanging="720"/>
        <w:rPr>
          <w:rFonts w:ascii="Calibri" w:hAnsi="Calibri"/>
          <w:sz w:val="20"/>
          <w:szCs w:val="20"/>
        </w:rPr>
      </w:pPr>
      <w:r w:rsidRPr="004F7641">
        <w:rPr>
          <w:rFonts w:ascii="Calibri" w:hAnsi="Calibri"/>
          <w:sz w:val="20"/>
          <w:szCs w:val="20"/>
        </w:rPr>
        <w:t>Ensuring</w:t>
      </w:r>
      <w:r w:rsidR="00D0796A" w:rsidRPr="004F7641">
        <w:rPr>
          <w:rFonts w:ascii="Calibri" w:hAnsi="Calibri"/>
          <w:sz w:val="20"/>
        </w:rPr>
        <w:t xml:space="preserve"> that CME activities comply with FSM Office for Regulatory Affairs (</w:t>
      </w:r>
      <w:r w:rsidR="00D0796A" w:rsidRPr="004F7641">
        <w:rPr>
          <w:rFonts w:ascii="Calibri" w:hAnsi="Calibri"/>
          <w:sz w:val="20"/>
          <w:szCs w:val="20"/>
        </w:rPr>
        <w:t xml:space="preserve">located at </w:t>
      </w:r>
      <w:hyperlink r:id="rId8" w:history="1">
        <w:r w:rsidR="0092417F" w:rsidRPr="004F7641">
          <w:rPr>
            <w:rStyle w:val="Hyperlink"/>
            <w:rFonts w:asciiTheme="minorHAnsi" w:hAnsiTheme="minorHAnsi"/>
            <w:color w:val="auto"/>
            <w:sz w:val="18"/>
            <w:szCs w:val="18"/>
          </w:rPr>
          <w:t>http://www.feinberg.northwestern.edu/compliance/resources/coi-and-prof-integrity/coi-policy-page.html</w:t>
        </w:r>
      </w:hyperlink>
      <w:r w:rsidR="00D0796A" w:rsidRPr="004F7641">
        <w:rPr>
          <w:rFonts w:ascii="Calibri" w:hAnsi="Calibri"/>
          <w:sz w:val="20"/>
        </w:rPr>
        <w:t xml:space="preserve">) and ACCME Standards for Commercial Support </w:t>
      </w:r>
      <w:r w:rsidR="00D0796A" w:rsidRPr="004F7641">
        <w:rPr>
          <w:rFonts w:ascii="Calibri" w:hAnsi="Calibri"/>
          <w:sz w:val="20"/>
          <w:szCs w:val="20"/>
        </w:rPr>
        <w:t>(</w:t>
      </w:r>
      <w:hyperlink r:id="rId9" w:tooltip="blocked::http://www.accme.org/" w:history="1">
        <w:r w:rsidR="00D0796A" w:rsidRPr="004F7641">
          <w:rPr>
            <w:rStyle w:val="Hyperlink"/>
            <w:rFonts w:ascii="Calibri" w:hAnsi="Calibri"/>
            <w:color w:val="auto"/>
            <w:sz w:val="20"/>
            <w:szCs w:val="20"/>
          </w:rPr>
          <w:t>http://www.accme.org/</w:t>
        </w:r>
      </w:hyperlink>
      <w:r w:rsidR="00D0796A" w:rsidRPr="004F7641">
        <w:rPr>
          <w:rFonts w:ascii="Calibri" w:hAnsi="Calibri"/>
          <w:sz w:val="20"/>
          <w:szCs w:val="20"/>
        </w:rPr>
        <w:t>)</w:t>
      </w:r>
      <w:r w:rsidR="00D0796A" w:rsidRPr="004F7641">
        <w:rPr>
          <w:rFonts w:ascii="Calibri" w:hAnsi="Calibri"/>
          <w:sz w:val="20"/>
        </w:rPr>
        <w:t xml:space="preserve"> policies and procedures</w:t>
      </w:r>
    </w:p>
    <w:p w:rsidR="003767F4" w:rsidRPr="004F7641" w:rsidRDefault="00D0796A" w:rsidP="00CC5B27">
      <w:pPr>
        <w:numPr>
          <w:ilvl w:val="1"/>
          <w:numId w:val="8"/>
        </w:numPr>
        <w:tabs>
          <w:tab w:val="clear" w:pos="1800"/>
          <w:tab w:val="left" w:pos="1440"/>
          <w:tab w:val="left" w:pos="2160"/>
        </w:tabs>
        <w:ind w:left="1440" w:right="720" w:hanging="720"/>
        <w:rPr>
          <w:rFonts w:ascii="Calibri" w:hAnsi="Calibri"/>
          <w:sz w:val="20"/>
          <w:szCs w:val="20"/>
        </w:rPr>
      </w:pPr>
      <w:r w:rsidRPr="004F7641">
        <w:rPr>
          <w:rFonts w:ascii="Calibri" w:hAnsi="Calibri"/>
          <w:sz w:val="20"/>
        </w:rPr>
        <w:t>R</w:t>
      </w:r>
      <w:r w:rsidR="003767F4" w:rsidRPr="004F7641">
        <w:rPr>
          <w:rFonts w:ascii="Calibri" w:hAnsi="Calibri"/>
          <w:sz w:val="20"/>
          <w:szCs w:val="20"/>
        </w:rPr>
        <w:t>eview</w:t>
      </w:r>
      <w:r w:rsidR="00AB601F" w:rsidRPr="004F7641">
        <w:rPr>
          <w:rFonts w:ascii="Calibri" w:hAnsi="Calibri"/>
          <w:sz w:val="20"/>
          <w:szCs w:val="20"/>
        </w:rPr>
        <w:t>ing</w:t>
      </w:r>
      <w:r w:rsidR="003767F4" w:rsidRPr="004F7641">
        <w:rPr>
          <w:rFonts w:ascii="Calibri" w:hAnsi="Calibri"/>
          <w:sz w:val="20"/>
          <w:szCs w:val="20"/>
        </w:rPr>
        <w:t xml:space="preserve"> and approv</w:t>
      </w:r>
      <w:r w:rsidR="00AB601F" w:rsidRPr="004F7641">
        <w:rPr>
          <w:rFonts w:ascii="Calibri" w:hAnsi="Calibri"/>
          <w:sz w:val="20"/>
          <w:szCs w:val="20"/>
        </w:rPr>
        <w:t>ing the</w:t>
      </w:r>
      <w:r w:rsidR="003767F4" w:rsidRPr="004F7641">
        <w:rPr>
          <w:rFonts w:ascii="Calibri" w:hAnsi="Calibri"/>
          <w:sz w:val="20"/>
          <w:szCs w:val="20"/>
        </w:rPr>
        <w:t xml:space="preserve"> continuing medical education content</w:t>
      </w:r>
    </w:p>
    <w:p w:rsidR="003767F4" w:rsidRPr="004F7641" w:rsidRDefault="003767F4" w:rsidP="00CC5B27">
      <w:pPr>
        <w:numPr>
          <w:ilvl w:val="1"/>
          <w:numId w:val="8"/>
        </w:numPr>
        <w:tabs>
          <w:tab w:val="clear" w:pos="1800"/>
          <w:tab w:val="left" w:pos="1440"/>
          <w:tab w:val="left" w:pos="2160"/>
        </w:tabs>
        <w:ind w:left="1440" w:right="720" w:hanging="720"/>
        <w:rPr>
          <w:rFonts w:ascii="Calibri" w:hAnsi="Calibri"/>
          <w:sz w:val="20"/>
          <w:szCs w:val="20"/>
        </w:rPr>
      </w:pPr>
      <w:r w:rsidRPr="004F7641">
        <w:rPr>
          <w:rFonts w:ascii="Calibri" w:hAnsi="Calibri"/>
          <w:sz w:val="20"/>
          <w:szCs w:val="20"/>
        </w:rPr>
        <w:t xml:space="preserve">Verifying </w:t>
      </w:r>
      <w:r w:rsidR="00AB601F" w:rsidRPr="004F7641">
        <w:rPr>
          <w:rFonts w:ascii="Calibri" w:hAnsi="Calibri"/>
          <w:sz w:val="20"/>
          <w:szCs w:val="20"/>
        </w:rPr>
        <w:t xml:space="preserve">that </w:t>
      </w:r>
      <w:r w:rsidRPr="004F7641">
        <w:rPr>
          <w:rFonts w:ascii="Calibri" w:hAnsi="Calibri"/>
          <w:sz w:val="20"/>
          <w:szCs w:val="20"/>
        </w:rPr>
        <w:t>the content is free of commercial bias</w:t>
      </w:r>
    </w:p>
    <w:p w:rsidR="00AB601F" w:rsidRPr="004F7641" w:rsidRDefault="00AB601F" w:rsidP="00CC5B27">
      <w:pPr>
        <w:numPr>
          <w:ilvl w:val="1"/>
          <w:numId w:val="8"/>
        </w:numPr>
        <w:tabs>
          <w:tab w:val="clear" w:pos="1800"/>
          <w:tab w:val="left" w:pos="1440"/>
          <w:tab w:val="left" w:pos="2160"/>
        </w:tabs>
        <w:ind w:left="1440" w:right="720" w:hanging="720"/>
        <w:rPr>
          <w:rFonts w:ascii="Calibri" w:hAnsi="Calibri"/>
          <w:sz w:val="20"/>
          <w:szCs w:val="20"/>
        </w:rPr>
      </w:pPr>
      <w:r w:rsidRPr="004F7641">
        <w:rPr>
          <w:rFonts w:ascii="Calibri" w:hAnsi="Calibri"/>
          <w:sz w:val="20"/>
          <w:szCs w:val="20"/>
        </w:rPr>
        <w:t>Verifying that a balanced view of therapeutic options is presented</w:t>
      </w:r>
    </w:p>
    <w:p w:rsidR="003767F4" w:rsidRPr="004F7641" w:rsidRDefault="00AB601F" w:rsidP="00CC5B27">
      <w:pPr>
        <w:numPr>
          <w:ilvl w:val="1"/>
          <w:numId w:val="8"/>
        </w:numPr>
        <w:tabs>
          <w:tab w:val="clear" w:pos="1800"/>
          <w:tab w:val="left" w:pos="1440"/>
          <w:tab w:val="left" w:pos="2160"/>
        </w:tabs>
        <w:ind w:left="1440" w:right="720" w:hanging="720"/>
        <w:rPr>
          <w:rFonts w:ascii="Calibri" w:hAnsi="Calibri"/>
          <w:sz w:val="20"/>
          <w:szCs w:val="20"/>
        </w:rPr>
      </w:pPr>
      <w:r w:rsidRPr="004F7641">
        <w:rPr>
          <w:rFonts w:ascii="Calibri" w:hAnsi="Calibri"/>
          <w:sz w:val="20"/>
          <w:szCs w:val="20"/>
        </w:rPr>
        <w:t>E</w:t>
      </w:r>
      <w:r w:rsidR="003767F4" w:rsidRPr="004F7641">
        <w:rPr>
          <w:rFonts w:ascii="Calibri" w:hAnsi="Calibri"/>
          <w:sz w:val="20"/>
          <w:szCs w:val="20"/>
        </w:rPr>
        <w:t>nsuring there is</w:t>
      </w:r>
      <w:r w:rsidRPr="004F7641">
        <w:rPr>
          <w:rFonts w:ascii="Calibri" w:hAnsi="Calibri"/>
          <w:sz w:val="20"/>
          <w:szCs w:val="20"/>
        </w:rPr>
        <w:t xml:space="preserve"> no</w:t>
      </w:r>
      <w:r w:rsidR="003767F4" w:rsidRPr="004F7641">
        <w:rPr>
          <w:rFonts w:ascii="Calibri" w:hAnsi="Calibri"/>
          <w:sz w:val="20"/>
          <w:szCs w:val="20"/>
        </w:rPr>
        <w:t xml:space="preserve">t a conflict of interest for those faculty involved in the planning </w:t>
      </w:r>
      <w:r w:rsidR="00A85A9C" w:rsidRPr="004F7641">
        <w:rPr>
          <w:rFonts w:ascii="Calibri" w:hAnsi="Calibri"/>
          <w:sz w:val="20"/>
          <w:szCs w:val="20"/>
        </w:rPr>
        <w:t xml:space="preserve">or </w:t>
      </w:r>
      <w:r w:rsidRPr="004F7641">
        <w:rPr>
          <w:rFonts w:ascii="Calibri" w:hAnsi="Calibri"/>
          <w:sz w:val="20"/>
          <w:szCs w:val="20"/>
        </w:rPr>
        <w:t xml:space="preserve">presentation </w:t>
      </w:r>
      <w:r w:rsidR="00A85A9C" w:rsidRPr="004F7641">
        <w:rPr>
          <w:rFonts w:ascii="Calibri" w:hAnsi="Calibri"/>
          <w:sz w:val="20"/>
          <w:szCs w:val="20"/>
        </w:rPr>
        <w:t xml:space="preserve">of </w:t>
      </w:r>
      <w:r w:rsidRPr="004F7641">
        <w:rPr>
          <w:rFonts w:ascii="Calibri" w:hAnsi="Calibri"/>
          <w:sz w:val="20"/>
          <w:szCs w:val="20"/>
        </w:rPr>
        <w:t xml:space="preserve">the educational </w:t>
      </w:r>
      <w:r w:rsidR="003767F4" w:rsidRPr="004F7641">
        <w:rPr>
          <w:rFonts w:ascii="Calibri" w:hAnsi="Calibri"/>
          <w:sz w:val="20"/>
          <w:szCs w:val="20"/>
        </w:rPr>
        <w:t>content</w:t>
      </w:r>
    </w:p>
    <w:p w:rsidR="003767F4" w:rsidRPr="004F7641" w:rsidRDefault="00AB601F" w:rsidP="00CC5B27">
      <w:pPr>
        <w:numPr>
          <w:ilvl w:val="1"/>
          <w:numId w:val="8"/>
        </w:numPr>
        <w:tabs>
          <w:tab w:val="clear" w:pos="1800"/>
          <w:tab w:val="left" w:pos="1440"/>
          <w:tab w:val="left" w:pos="2160"/>
        </w:tabs>
        <w:ind w:left="1440" w:right="720" w:hanging="720"/>
        <w:rPr>
          <w:rFonts w:ascii="Calibri" w:hAnsi="Calibri"/>
          <w:sz w:val="20"/>
          <w:szCs w:val="20"/>
        </w:rPr>
      </w:pPr>
      <w:r w:rsidRPr="004F7641">
        <w:rPr>
          <w:rFonts w:ascii="Calibri" w:hAnsi="Calibri"/>
          <w:sz w:val="20"/>
          <w:szCs w:val="20"/>
        </w:rPr>
        <w:t>E</w:t>
      </w:r>
      <w:r w:rsidR="003767F4" w:rsidRPr="004F7641">
        <w:rPr>
          <w:rFonts w:ascii="Calibri" w:hAnsi="Calibri"/>
          <w:sz w:val="20"/>
          <w:szCs w:val="20"/>
        </w:rPr>
        <w:t>nsuring that continuing medical education activities comply with the medical school’s policies and procedures</w:t>
      </w:r>
    </w:p>
    <w:p w:rsidR="003767F4" w:rsidRPr="004F7641" w:rsidRDefault="003767F4" w:rsidP="00CC5B27">
      <w:pPr>
        <w:numPr>
          <w:ilvl w:val="1"/>
          <w:numId w:val="8"/>
        </w:numPr>
        <w:tabs>
          <w:tab w:val="clear" w:pos="1800"/>
          <w:tab w:val="left" w:pos="1440"/>
          <w:tab w:val="left" w:pos="2160"/>
        </w:tabs>
        <w:ind w:left="1440" w:right="720" w:hanging="720"/>
        <w:rPr>
          <w:rFonts w:ascii="Calibri" w:hAnsi="Calibri"/>
          <w:sz w:val="20"/>
          <w:szCs w:val="20"/>
        </w:rPr>
      </w:pPr>
      <w:r w:rsidRPr="004F7641">
        <w:rPr>
          <w:rFonts w:ascii="Calibri" w:hAnsi="Calibri"/>
          <w:sz w:val="20"/>
          <w:szCs w:val="20"/>
        </w:rPr>
        <w:t xml:space="preserve">Providing recommendations to the activity directors.  </w:t>
      </w:r>
    </w:p>
    <w:p w:rsidR="003767F4" w:rsidRPr="00873B10" w:rsidRDefault="003767F4" w:rsidP="003767F4">
      <w:pPr>
        <w:tabs>
          <w:tab w:val="left" w:pos="720"/>
          <w:tab w:val="left" w:pos="1440"/>
          <w:tab w:val="left" w:pos="2160"/>
        </w:tabs>
        <w:ind w:right="720"/>
        <w:rPr>
          <w:rFonts w:ascii="Calibri" w:hAnsi="Calibri"/>
          <w:sz w:val="20"/>
          <w:szCs w:val="20"/>
        </w:rPr>
      </w:pPr>
    </w:p>
    <w:p w:rsidR="003767F4" w:rsidRPr="00873B10" w:rsidRDefault="00E9510C" w:rsidP="00E9510C">
      <w:pPr>
        <w:tabs>
          <w:tab w:val="left" w:pos="720"/>
          <w:tab w:val="left" w:pos="1440"/>
          <w:tab w:val="left" w:pos="2160"/>
        </w:tabs>
        <w:ind w:left="720" w:right="720" w:hanging="720"/>
        <w:rPr>
          <w:rFonts w:ascii="Calibri" w:hAnsi="Calibri"/>
          <w:bCs/>
          <w:sz w:val="20"/>
          <w:szCs w:val="20"/>
        </w:rPr>
      </w:pPr>
      <w:r w:rsidRPr="00873B10">
        <w:rPr>
          <w:rFonts w:ascii="Calibri" w:hAnsi="Calibri"/>
          <w:sz w:val="20"/>
          <w:szCs w:val="20"/>
        </w:rPr>
        <w:tab/>
      </w:r>
      <w:r w:rsidR="009B3E01">
        <w:rPr>
          <w:rFonts w:ascii="Calibri" w:hAnsi="Calibri"/>
          <w:sz w:val="20"/>
          <w:szCs w:val="20"/>
        </w:rPr>
        <w:t xml:space="preserve">CME </w:t>
      </w:r>
      <w:r w:rsidR="009B3E01" w:rsidRPr="00873B10">
        <w:rPr>
          <w:rFonts w:ascii="Calibri" w:hAnsi="Calibri"/>
          <w:sz w:val="20"/>
          <w:szCs w:val="20"/>
        </w:rPr>
        <w:t xml:space="preserve">Medical </w:t>
      </w:r>
      <w:r w:rsidR="009B3E01">
        <w:rPr>
          <w:rFonts w:ascii="Calibri" w:hAnsi="Calibri"/>
          <w:sz w:val="20"/>
          <w:szCs w:val="20"/>
        </w:rPr>
        <w:t xml:space="preserve">Director is </w:t>
      </w:r>
      <w:r w:rsidR="003767F4" w:rsidRPr="00873B10">
        <w:rPr>
          <w:rFonts w:ascii="Calibri" w:hAnsi="Calibri"/>
          <w:sz w:val="20"/>
          <w:szCs w:val="20"/>
        </w:rPr>
        <w:t xml:space="preserve">responsible for verifying an educational planning process was used to identify the educational need and develop the educational program and the activity’s content supports the mission statements of </w:t>
      </w:r>
      <w:r w:rsidR="00037135" w:rsidRPr="00873B10">
        <w:rPr>
          <w:rFonts w:ascii="Calibri" w:hAnsi="Calibri"/>
          <w:sz w:val="20"/>
          <w:szCs w:val="20"/>
        </w:rPr>
        <w:t>FSM</w:t>
      </w:r>
      <w:r w:rsidR="003767F4" w:rsidRPr="00873B10">
        <w:rPr>
          <w:rFonts w:ascii="Calibri" w:hAnsi="Calibri"/>
          <w:sz w:val="20"/>
          <w:szCs w:val="20"/>
        </w:rPr>
        <w:t xml:space="preserve"> and the OCME.</w:t>
      </w:r>
      <w:r w:rsidR="003767F4" w:rsidRPr="00873B10">
        <w:rPr>
          <w:rFonts w:ascii="Calibri" w:hAnsi="Calibri"/>
          <w:bCs/>
          <w:sz w:val="20"/>
          <w:szCs w:val="20"/>
        </w:rPr>
        <w:t xml:space="preserve"> </w:t>
      </w:r>
    </w:p>
    <w:p w:rsidR="003767F4" w:rsidRPr="00873B10" w:rsidRDefault="003767F4" w:rsidP="003767F4">
      <w:pPr>
        <w:tabs>
          <w:tab w:val="left" w:pos="720"/>
          <w:tab w:val="left" w:pos="1440"/>
          <w:tab w:val="left" w:pos="2160"/>
        </w:tabs>
        <w:ind w:right="720"/>
        <w:rPr>
          <w:rFonts w:ascii="Calibri" w:hAnsi="Calibri"/>
          <w:bCs/>
          <w:sz w:val="20"/>
          <w:szCs w:val="20"/>
        </w:rPr>
      </w:pPr>
    </w:p>
    <w:p w:rsidR="003767F4" w:rsidRPr="00873B10" w:rsidRDefault="00E9510C" w:rsidP="00A900AA">
      <w:pPr>
        <w:tabs>
          <w:tab w:val="left" w:pos="720"/>
          <w:tab w:val="left" w:pos="1440"/>
          <w:tab w:val="left" w:pos="2160"/>
        </w:tabs>
        <w:ind w:left="720" w:right="720" w:hanging="720"/>
        <w:rPr>
          <w:rFonts w:ascii="Calibri" w:hAnsi="Calibri"/>
          <w:i/>
          <w:sz w:val="20"/>
          <w:szCs w:val="20"/>
        </w:rPr>
      </w:pPr>
      <w:r w:rsidRPr="00873B10">
        <w:rPr>
          <w:rFonts w:ascii="Calibri" w:hAnsi="Calibri"/>
          <w:bCs/>
          <w:i/>
          <w:sz w:val="20"/>
          <w:szCs w:val="20"/>
        </w:rPr>
        <w:tab/>
      </w:r>
      <w:r w:rsidR="003767F4" w:rsidRPr="00873B10">
        <w:rPr>
          <w:rFonts w:ascii="Calibri" w:hAnsi="Calibri"/>
          <w:sz w:val="20"/>
          <w:szCs w:val="20"/>
          <w:u w:val="single"/>
        </w:rPr>
        <w:t>CME Approval</w:t>
      </w:r>
      <w:r w:rsidR="003767F4" w:rsidRPr="00873B10">
        <w:rPr>
          <w:rFonts w:ascii="Calibri" w:hAnsi="Calibri"/>
          <w:i/>
          <w:sz w:val="20"/>
          <w:szCs w:val="20"/>
        </w:rPr>
        <w:t>:</w:t>
      </w:r>
    </w:p>
    <w:p w:rsidR="003767F4" w:rsidRPr="00873B10" w:rsidRDefault="00E9510C" w:rsidP="00E9510C">
      <w:pPr>
        <w:tabs>
          <w:tab w:val="left" w:pos="720"/>
          <w:tab w:val="left" w:pos="1440"/>
          <w:tab w:val="left" w:pos="2160"/>
        </w:tabs>
        <w:ind w:left="720" w:right="720" w:hanging="720"/>
        <w:rPr>
          <w:rFonts w:ascii="Calibri" w:hAnsi="Calibri"/>
          <w:bCs/>
          <w:sz w:val="20"/>
          <w:szCs w:val="20"/>
        </w:rPr>
      </w:pPr>
      <w:r w:rsidRPr="00873B10">
        <w:rPr>
          <w:rFonts w:ascii="Calibri" w:hAnsi="Calibri"/>
          <w:bCs/>
          <w:sz w:val="20"/>
          <w:szCs w:val="20"/>
        </w:rPr>
        <w:tab/>
      </w:r>
      <w:r w:rsidR="003767F4" w:rsidRPr="00873B10">
        <w:rPr>
          <w:rFonts w:ascii="Calibri" w:hAnsi="Calibri"/>
          <w:bCs/>
          <w:sz w:val="20"/>
          <w:szCs w:val="20"/>
        </w:rPr>
        <w:t>The course director(s) will be notified of approval in writing.  An invoice for sponsorship fee and guidelines for conducting the activity will be included with the approval memorandum.</w:t>
      </w:r>
    </w:p>
    <w:p w:rsidR="003767F4" w:rsidRPr="00873B10" w:rsidRDefault="003767F4" w:rsidP="003767F4">
      <w:pPr>
        <w:tabs>
          <w:tab w:val="left" w:pos="720"/>
          <w:tab w:val="left" w:pos="1440"/>
          <w:tab w:val="left" w:pos="2160"/>
        </w:tabs>
        <w:ind w:right="720"/>
        <w:rPr>
          <w:rFonts w:ascii="Calibri" w:hAnsi="Calibri"/>
          <w:bCs/>
          <w:sz w:val="20"/>
          <w:szCs w:val="20"/>
        </w:rPr>
      </w:pPr>
    </w:p>
    <w:p w:rsidR="003767F4" w:rsidRPr="00873B10" w:rsidRDefault="00E9510C" w:rsidP="00906527">
      <w:pPr>
        <w:pStyle w:val="Heading2"/>
        <w:rPr>
          <w:rFonts w:ascii="Calibri" w:hAnsi="Calibri"/>
          <w:sz w:val="20"/>
          <w:szCs w:val="20"/>
        </w:rPr>
      </w:pPr>
      <w:r w:rsidRPr="00873B10">
        <w:rPr>
          <w:rFonts w:ascii="Calibri" w:hAnsi="Calibri"/>
          <w:sz w:val="20"/>
          <w:szCs w:val="20"/>
        </w:rPr>
        <w:tab/>
      </w:r>
      <w:bookmarkStart w:id="9" w:name="_Toc401304624"/>
      <w:bookmarkStart w:id="10" w:name="_Toc489540643"/>
      <w:r w:rsidR="00EC69D2" w:rsidRPr="00873B10">
        <w:rPr>
          <w:rFonts w:ascii="Calibri" w:hAnsi="Calibri"/>
          <w:i w:val="0"/>
          <w:sz w:val="20"/>
          <w:szCs w:val="20"/>
          <w:u w:val="single"/>
        </w:rPr>
        <w:t>Industry / C</w:t>
      </w:r>
      <w:r w:rsidR="003767F4" w:rsidRPr="00873B10">
        <w:rPr>
          <w:rFonts w:ascii="Calibri" w:hAnsi="Calibri"/>
          <w:i w:val="0"/>
          <w:sz w:val="20"/>
          <w:szCs w:val="20"/>
          <w:u w:val="single"/>
        </w:rPr>
        <w:t>ommercial Support Agreements</w:t>
      </w:r>
      <w:r w:rsidR="003767F4" w:rsidRPr="00873B10">
        <w:rPr>
          <w:rFonts w:ascii="Calibri" w:hAnsi="Calibri"/>
          <w:sz w:val="20"/>
          <w:szCs w:val="20"/>
        </w:rPr>
        <w:t>:</w:t>
      </w:r>
      <w:bookmarkEnd w:id="9"/>
      <w:bookmarkEnd w:id="10"/>
    </w:p>
    <w:p w:rsidR="003767F4" w:rsidRPr="00873B10" w:rsidRDefault="00E9510C" w:rsidP="00E9510C">
      <w:pPr>
        <w:tabs>
          <w:tab w:val="left" w:pos="720"/>
          <w:tab w:val="left" w:pos="1440"/>
          <w:tab w:val="left" w:pos="2160"/>
        </w:tabs>
        <w:ind w:left="720" w:right="720" w:hanging="720"/>
        <w:rPr>
          <w:rFonts w:ascii="Calibri" w:hAnsi="Calibri"/>
          <w:sz w:val="20"/>
          <w:szCs w:val="20"/>
        </w:rPr>
      </w:pPr>
      <w:r w:rsidRPr="00873B10">
        <w:rPr>
          <w:rFonts w:ascii="Calibri" w:hAnsi="Calibri"/>
          <w:sz w:val="20"/>
          <w:szCs w:val="20"/>
        </w:rPr>
        <w:tab/>
      </w:r>
      <w:r w:rsidR="003767F4" w:rsidRPr="00873B10">
        <w:rPr>
          <w:rFonts w:ascii="Calibri" w:hAnsi="Calibri"/>
          <w:sz w:val="20"/>
          <w:szCs w:val="20"/>
        </w:rPr>
        <w:t xml:space="preserve">Where financial or in-kind support from a commercial interest is involved, a Letter of Agreement must be completed, signed by all parties and returned to the Office of CME prior to any acknowledgement.  If the Office of CME has not received the signed LOA prior to the date of the educational activity, the company cannot be acknowledged in the program materials and the educational grant cannot be accepted. The agreement must be signed by a representative from the commercial interest and the Provider.  The Provider is </w:t>
      </w:r>
      <w:r w:rsidR="001C4115" w:rsidRPr="00873B10">
        <w:rPr>
          <w:rFonts w:ascii="Calibri" w:hAnsi="Calibri"/>
          <w:sz w:val="20"/>
          <w:szCs w:val="20"/>
        </w:rPr>
        <w:t>Northwestern University</w:t>
      </w:r>
      <w:r w:rsidR="003767F4" w:rsidRPr="00873B10">
        <w:rPr>
          <w:rFonts w:ascii="Calibri" w:hAnsi="Calibri"/>
          <w:sz w:val="20"/>
          <w:szCs w:val="20"/>
        </w:rPr>
        <w:t xml:space="preserve"> </w:t>
      </w:r>
      <w:r w:rsidR="00871AFD" w:rsidRPr="00873B10">
        <w:rPr>
          <w:rFonts w:ascii="Calibri" w:hAnsi="Calibri"/>
          <w:sz w:val="20"/>
          <w:szCs w:val="20"/>
        </w:rPr>
        <w:t>with the contact information of the Feinberg School of Medicine Office of Continuing Medical Education</w:t>
      </w:r>
      <w:r w:rsidR="003767F4" w:rsidRPr="00873B10">
        <w:rPr>
          <w:rFonts w:ascii="Calibri" w:hAnsi="Calibri"/>
          <w:sz w:val="20"/>
          <w:szCs w:val="20"/>
        </w:rPr>
        <w:t xml:space="preserve">.   The university’s Office of General Council has designated Dr. </w:t>
      </w:r>
      <w:r w:rsidR="009B3E01">
        <w:rPr>
          <w:rFonts w:ascii="Calibri" w:hAnsi="Calibri"/>
          <w:sz w:val="20"/>
          <w:szCs w:val="20"/>
        </w:rPr>
        <w:t xml:space="preserve">Clara </w:t>
      </w:r>
      <w:proofErr w:type="spellStart"/>
      <w:r w:rsidR="009B3E01">
        <w:rPr>
          <w:rFonts w:ascii="Calibri" w:hAnsi="Calibri"/>
          <w:sz w:val="20"/>
          <w:szCs w:val="20"/>
        </w:rPr>
        <w:t>Schroedl</w:t>
      </w:r>
      <w:proofErr w:type="spellEnd"/>
      <w:r w:rsidR="009B3E01">
        <w:rPr>
          <w:rFonts w:ascii="Calibri" w:hAnsi="Calibri"/>
          <w:sz w:val="20"/>
          <w:szCs w:val="20"/>
        </w:rPr>
        <w:t>, CME Medical Director</w:t>
      </w:r>
      <w:r w:rsidR="003767F4" w:rsidRPr="00873B10">
        <w:rPr>
          <w:rFonts w:ascii="Calibri" w:hAnsi="Calibri"/>
          <w:sz w:val="20"/>
          <w:szCs w:val="20"/>
        </w:rPr>
        <w:t xml:space="preserve">, as the appropriate signature for commercial company’s LOA; members of the OCME are the designees for the medical school’s LOA.  The sponsoring department, affiliate or </w:t>
      </w:r>
      <w:r w:rsidR="002B2E91" w:rsidRPr="00873B10">
        <w:rPr>
          <w:rFonts w:ascii="Calibri" w:hAnsi="Calibri"/>
          <w:sz w:val="20"/>
          <w:szCs w:val="20"/>
        </w:rPr>
        <w:t>co/joint provider</w:t>
      </w:r>
      <w:r w:rsidR="003767F4" w:rsidRPr="00873B10">
        <w:rPr>
          <w:rFonts w:ascii="Calibri" w:hAnsi="Calibri"/>
          <w:sz w:val="20"/>
          <w:szCs w:val="20"/>
        </w:rPr>
        <w:t xml:space="preserve"> are </w:t>
      </w:r>
      <w:r w:rsidR="003767F4" w:rsidRPr="00873B10">
        <w:rPr>
          <w:rFonts w:ascii="Calibri" w:hAnsi="Calibri"/>
          <w:b/>
          <w:sz w:val="20"/>
          <w:szCs w:val="20"/>
          <w:u w:val="single"/>
        </w:rPr>
        <w:t>NOT</w:t>
      </w:r>
      <w:r w:rsidR="003767F4" w:rsidRPr="00873B10">
        <w:rPr>
          <w:rFonts w:ascii="Calibri" w:hAnsi="Calibri"/>
          <w:sz w:val="20"/>
          <w:szCs w:val="20"/>
        </w:rPr>
        <w:t xml:space="preserve"> the appropriate signature for LOAs.</w:t>
      </w:r>
    </w:p>
    <w:p w:rsidR="003767F4" w:rsidRPr="00873B10" w:rsidRDefault="003767F4" w:rsidP="003767F4">
      <w:pPr>
        <w:tabs>
          <w:tab w:val="left" w:pos="720"/>
          <w:tab w:val="left" w:pos="1440"/>
          <w:tab w:val="left" w:pos="2160"/>
        </w:tabs>
        <w:ind w:right="720"/>
        <w:rPr>
          <w:rFonts w:ascii="Calibri" w:hAnsi="Calibri"/>
          <w:sz w:val="20"/>
          <w:szCs w:val="20"/>
        </w:rPr>
      </w:pPr>
    </w:p>
    <w:p w:rsidR="003767F4" w:rsidRPr="00873B10" w:rsidRDefault="00E9510C" w:rsidP="00E9510C">
      <w:pPr>
        <w:tabs>
          <w:tab w:val="left" w:pos="720"/>
          <w:tab w:val="left" w:pos="1440"/>
          <w:tab w:val="left" w:pos="2160"/>
        </w:tabs>
        <w:ind w:left="720" w:right="720" w:hanging="720"/>
        <w:rPr>
          <w:rFonts w:ascii="Calibri" w:hAnsi="Calibri"/>
          <w:sz w:val="20"/>
          <w:szCs w:val="20"/>
        </w:rPr>
      </w:pPr>
      <w:r w:rsidRPr="00873B10">
        <w:rPr>
          <w:rFonts w:ascii="Calibri" w:hAnsi="Calibri"/>
          <w:sz w:val="20"/>
          <w:szCs w:val="20"/>
        </w:rPr>
        <w:tab/>
      </w:r>
      <w:r w:rsidR="003767F4" w:rsidRPr="00873B10">
        <w:rPr>
          <w:rFonts w:ascii="Calibri" w:hAnsi="Calibri"/>
          <w:sz w:val="20"/>
          <w:szCs w:val="20"/>
        </w:rPr>
        <w:t xml:space="preserve">All </w:t>
      </w:r>
      <w:r w:rsidR="00EC69D2" w:rsidRPr="00873B10">
        <w:rPr>
          <w:rFonts w:ascii="Calibri" w:hAnsi="Calibri"/>
          <w:sz w:val="20"/>
          <w:szCs w:val="20"/>
        </w:rPr>
        <w:t xml:space="preserve">industry </w:t>
      </w:r>
      <w:r w:rsidR="003767F4" w:rsidRPr="00873B10">
        <w:rPr>
          <w:rFonts w:ascii="Calibri" w:hAnsi="Calibri"/>
          <w:sz w:val="20"/>
          <w:szCs w:val="20"/>
        </w:rPr>
        <w:t xml:space="preserve">support must be given with full knowledge and approval from the OCME.   The course director must make all decisions regarding the disposition and disbursement of commercial support.  The </w:t>
      </w:r>
      <w:r w:rsidR="00A26855">
        <w:rPr>
          <w:rFonts w:ascii="Calibri" w:hAnsi="Calibri"/>
          <w:sz w:val="20"/>
          <w:szCs w:val="20"/>
        </w:rPr>
        <w:t>Manager</w:t>
      </w:r>
      <w:r w:rsidR="003767F4" w:rsidRPr="00873B10">
        <w:rPr>
          <w:rFonts w:ascii="Calibri" w:hAnsi="Calibri"/>
          <w:sz w:val="20"/>
          <w:szCs w:val="20"/>
        </w:rPr>
        <w:t xml:space="preserve"> of CME, members of the CME Review Committee and </w:t>
      </w:r>
      <w:r w:rsidR="009B3E01">
        <w:rPr>
          <w:rFonts w:ascii="Calibri" w:hAnsi="Calibri"/>
          <w:sz w:val="20"/>
          <w:szCs w:val="20"/>
        </w:rPr>
        <w:t xml:space="preserve">CME </w:t>
      </w:r>
      <w:r w:rsidR="009B3E01" w:rsidRPr="00873B10">
        <w:rPr>
          <w:rFonts w:ascii="Calibri" w:hAnsi="Calibri"/>
          <w:sz w:val="20"/>
          <w:szCs w:val="20"/>
        </w:rPr>
        <w:t xml:space="preserve">Medical </w:t>
      </w:r>
      <w:r w:rsidR="009B3E01">
        <w:rPr>
          <w:rFonts w:ascii="Calibri" w:hAnsi="Calibri"/>
          <w:sz w:val="20"/>
          <w:szCs w:val="20"/>
        </w:rPr>
        <w:t xml:space="preserve">Director </w:t>
      </w:r>
      <w:r w:rsidR="003767F4" w:rsidRPr="00873B10">
        <w:rPr>
          <w:rFonts w:ascii="Calibri" w:hAnsi="Calibri"/>
          <w:sz w:val="20"/>
          <w:szCs w:val="20"/>
        </w:rPr>
        <w:t xml:space="preserve">must approve the disbursement of commercial company funds during the application process.  If there are any changes in the status of the support, the course director must inform the </w:t>
      </w:r>
      <w:r w:rsidR="00A26855">
        <w:rPr>
          <w:rFonts w:ascii="Calibri" w:hAnsi="Calibri"/>
          <w:sz w:val="20"/>
          <w:szCs w:val="20"/>
        </w:rPr>
        <w:t>Manager</w:t>
      </w:r>
      <w:r w:rsidR="003767F4" w:rsidRPr="00873B10">
        <w:rPr>
          <w:rFonts w:ascii="Calibri" w:hAnsi="Calibri"/>
          <w:sz w:val="20"/>
          <w:szCs w:val="20"/>
        </w:rPr>
        <w:t xml:space="preserve"> of CME.  Funds provided by commercial supporters may not be used for travel, lodging, honoraria or personal expenses for participants of the activity.  </w:t>
      </w:r>
    </w:p>
    <w:p w:rsidR="003767F4" w:rsidRPr="00873B10" w:rsidRDefault="003767F4" w:rsidP="003767F4">
      <w:pPr>
        <w:tabs>
          <w:tab w:val="left" w:pos="720"/>
          <w:tab w:val="left" w:pos="1440"/>
          <w:tab w:val="left" w:pos="2160"/>
        </w:tabs>
        <w:ind w:right="720"/>
        <w:rPr>
          <w:rFonts w:ascii="Calibri" w:hAnsi="Calibri"/>
          <w:sz w:val="20"/>
          <w:szCs w:val="20"/>
        </w:rPr>
      </w:pPr>
    </w:p>
    <w:p w:rsidR="003767F4" w:rsidRPr="00873B10" w:rsidRDefault="00E9510C" w:rsidP="00E9510C">
      <w:pPr>
        <w:tabs>
          <w:tab w:val="left" w:pos="720"/>
          <w:tab w:val="left" w:pos="1440"/>
          <w:tab w:val="left" w:pos="2160"/>
        </w:tabs>
        <w:ind w:left="720" w:right="720" w:hanging="720"/>
        <w:rPr>
          <w:rFonts w:ascii="Calibri" w:hAnsi="Calibri"/>
          <w:sz w:val="20"/>
          <w:szCs w:val="20"/>
        </w:rPr>
      </w:pPr>
      <w:r w:rsidRPr="00873B10">
        <w:rPr>
          <w:rFonts w:ascii="Calibri" w:hAnsi="Calibri"/>
          <w:sz w:val="20"/>
          <w:szCs w:val="20"/>
        </w:rPr>
        <w:tab/>
      </w:r>
      <w:r w:rsidR="007B19DE" w:rsidRPr="00873B10">
        <w:rPr>
          <w:rFonts w:ascii="Calibri" w:hAnsi="Calibri"/>
          <w:sz w:val="20"/>
          <w:szCs w:val="20"/>
        </w:rPr>
        <w:t>For e</w:t>
      </w:r>
      <w:r w:rsidR="003767F4" w:rsidRPr="00873B10">
        <w:rPr>
          <w:rFonts w:ascii="Calibri" w:hAnsi="Calibri"/>
          <w:sz w:val="20"/>
          <w:szCs w:val="20"/>
        </w:rPr>
        <w:t xml:space="preserve">ducational activities </w:t>
      </w:r>
      <w:r w:rsidR="003767F4" w:rsidRPr="00873B10">
        <w:rPr>
          <w:rFonts w:ascii="Calibri" w:hAnsi="Calibri"/>
          <w:b/>
          <w:sz w:val="20"/>
          <w:szCs w:val="20"/>
          <w:u w:val="single"/>
        </w:rPr>
        <w:t>NOT</w:t>
      </w:r>
      <w:r w:rsidR="003767F4" w:rsidRPr="00873B10">
        <w:rPr>
          <w:rFonts w:ascii="Calibri" w:hAnsi="Calibri"/>
          <w:sz w:val="20"/>
          <w:szCs w:val="20"/>
        </w:rPr>
        <w:t xml:space="preserve"> coordinated by the Office of CME, the OCME will provide a grant request letter indicating that the funds be distributed to the affiliate or </w:t>
      </w:r>
      <w:r w:rsidR="002B2E91" w:rsidRPr="00873B10">
        <w:rPr>
          <w:rFonts w:ascii="Calibri" w:hAnsi="Calibri"/>
          <w:sz w:val="20"/>
          <w:szCs w:val="20"/>
        </w:rPr>
        <w:t>co/joint provider</w:t>
      </w:r>
      <w:r w:rsidR="003767F4" w:rsidRPr="00873B10">
        <w:rPr>
          <w:rFonts w:ascii="Calibri" w:hAnsi="Calibri"/>
          <w:sz w:val="20"/>
          <w:szCs w:val="20"/>
        </w:rPr>
        <w:t xml:space="preserve">.  </w:t>
      </w:r>
      <w:bookmarkStart w:id="11" w:name="OLE_LINK5"/>
      <w:r w:rsidR="003767F4" w:rsidRPr="00873B10">
        <w:rPr>
          <w:rFonts w:ascii="Calibri" w:hAnsi="Calibri"/>
          <w:sz w:val="20"/>
          <w:szCs w:val="20"/>
        </w:rPr>
        <w:t>If the company must pay the Provider (</w:t>
      </w:r>
      <w:r w:rsidR="00037135" w:rsidRPr="00873B10">
        <w:rPr>
          <w:rFonts w:ascii="Calibri" w:hAnsi="Calibri"/>
          <w:sz w:val="20"/>
          <w:szCs w:val="20"/>
        </w:rPr>
        <w:t>FSM</w:t>
      </w:r>
      <w:r w:rsidR="003767F4" w:rsidRPr="00873B10">
        <w:rPr>
          <w:rFonts w:ascii="Calibri" w:hAnsi="Calibri"/>
          <w:sz w:val="20"/>
          <w:szCs w:val="20"/>
        </w:rPr>
        <w:t xml:space="preserve">), the OCME will process the educational grant and issue the funds to the sponsoring department, affiliate or </w:t>
      </w:r>
      <w:r w:rsidR="002B2E91" w:rsidRPr="00873B10">
        <w:rPr>
          <w:rFonts w:ascii="Calibri" w:hAnsi="Calibri"/>
          <w:sz w:val="20"/>
          <w:szCs w:val="20"/>
        </w:rPr>
        <w:t>co/joint provider</w:t>
      </w:r>
      <w:r w:rsidR="003767F4" w:rsidRPr="00873B10">
        <w:rPr>
          <w:rFonts w:ascii="Calibri" w:hAnsi="Calibri"/>
          <w:sz w:val="20"/>
          <w:szCs w:val="20"/>
        </w:rPr>
        <w:t>.  Please refer to the fee structure for the fees associated with distributing educational grants.  The grant processing fees should be built into the activity’s budget estimate as CME administrative fees</w:t>
      </w:r>
      <w:bookmarkEnd w:id="11"/>
      <w:r w:rsidR="003767F4" w:rsidRPr="00873B10">
        <w:rPr>
          <w:rFonts w:ascii="Calibri" w:hAnsi="Calibri"/>
          <w:sz w:val="20"/>
          <w:szCs w:val="20"/>
        </w:rPr>
        <w:t>.</w:t>
      </w:r>
    </w:p>
    <w:p w:rsidR="00B26C8A" w:rsidRPr="00873B10" w:rsidRDefault="00B26C8A" w:rsidP="003767F4">
      <w:pPr>
        <w:tabs>
          <w:tab w:val="left" w:pos="720"/>
          <w:tab w:val="left" w:pos="1440"/>
          <w:tab w:val="left" w:pos="2160"/>
        </w:tabs>
        <w:ind w:right="720"/>
        <w:rPr>
          <w:rFonts w:ascii="Calibri" w:hAnsi="Calibri"/>
          <w:sz w:val="20"/>
          <w:szCs w:val="20"/>
        </w:rPr>
      </w:pPr>
    </w:p>
    <w:p w:rsidR="003767F4" w:rsidRPr="00873B10" w:rsidRDefault="00000FDC" w:rsidP="00906527">
      <w:pPr>
        <w:pStyle w:val="Heading2"/>
        <w:rPr>
          <w:rFonts w:ascii="Calibri" w:hAnsi="Calibri"/>
          <w:sz w:val="20"/>
          <w:szCs w:val="20"/>
        </w:rPr>
      </w:pPr>
      <w:r w:rsidRPr="00873B10">
        <w:rPr>
          <w:rFonts w:ascii="Calibri" w:hAnsi="Calibri"/>
          <w:sz w:val="20"/>
          <w:szCs w:val="20"/>
        </w:rPr>
        <w:tab/>
      </w:r>
      <w:bookmarkStart w:id="12" w:name="_Toc401304625"/>
      <w:bookmarkStart w:id="13" w:name="_Toc489540644"/>
      <w:r w:rsidR="003767F4" w:rsidRPr="00873B10">
        <w:rPr>
          <w:rFonts w:ascii="Calibri" w:hAnsi="Calibri"/>
          <w:i w:val="0"/>
          <w:sz w:val="20"/>
          <w:szCs w:val="20"/>
          <w:u w:val="single"/>
        </w:rPr>
        <w:t>Grant Submission and Reconciliation</w:t>
      </w:r>
      <w:r w:rsidR="003767F4" w:rsidRPr="00873B10">
        <w:rPr>
          <w:rFonts w:ascii="Calibri" w:hAnsi="Calibri"/>
          <w:sz w:val="20"/>
          <w:szCs w:val="20"/>
        </w:rPr>
        <w:t>:</w:t>
      </w:r>
      <w:bookmarkEnd w:id="12"/>
      <w:bookmarkEnd w:id="13"/>
    </w:p>
    <w:p w:rsidR="003767F4" w:rsidRPr="00873B10" w:rsidRDefault="00000FDC" w:rsidP="00000FDC">
      <w:pPr>
        <w:tabs>
          <w:tab w:val="left" w:pos="720"/>
          <w:tab w:val="left" w:pos="1440"/>
          <w:tab w:val="left" w:pos="2160"/>
        </w:tabs>
        <w:ind w:left="720" w:right="720" w:hanging="720"/>
        <w:rPr>
          <w:rFonts w:ascii="Calibri" w:hAnsi="Calibri"/>
          <w:sz w:val="20"/>
          <w:szCs w:val="20"/>
        </w:rPr>
      </w:pPr>
      <w:r w:rsidRPr="00873B10">
        <w:rPr>
          <w:rFonts w:ascii="Calibri" w:hAnsi="Calibri"/>
          <w:sz w:val="20"/>
          <w:szCs w:val="20"/>
        </w:rPr>
        <w:tab/>
      </w:r>
      <w:r w:rsidR="003767F4" w:rsidRPr="00873B10">
        <w:rPr>
          <w:rFonts w:ascii="Calibri" w:hAnsi="Calibri"/>
          <w:sz w:val="20"/>
          <w:szCs w:val="20"/>
        </w:rPr>
        <w:t xml:space="preserve">The department, affiliate, medical education company, medical education company, </w:t>
      </w:r>
      <w:r w:rsidR="002B2E91" w:rsidRPr="00873B10">
        <w:rPr>
          <w:rFonts w:ascii="Calibri" w:hAnsi="Calibri"/>
          <w:sz w:val="20"/>
          <w:szCs w:val="20"/>
        </w:rPr>
        <w:t>co/joint provider</w:t>
      </w:r>
      <w:r w:rsidR="003767F4" w:rsidRPr="00873B10">
        <w:rPr>
          <w:rFonts w:ascii="Calibri" w:hAnsi="Calibri"/>
          <w:sz w:val="20"/>
          <w:szCs w:val="20"/>
        </w:rPr>
        <w:t xml:space="preserve"> coordinating the activity is responsible for processing the online grant submissions</w:t>
      </w:r>
      <w:r w:rsidR="00531B7C" w:rsidRPr="00873B10">
        <w:rPr>
          <w:rFonts w:ascii="Calibri" w:hAnsi="Calibri"/>
          <w:sz w:val="20"/>
          <w:szCs w:val="20"/>
        </w:rPr>
        <w:t xml:space="preserve">, </w:t>
      </w:r>
      <w:r w:rsidR="003767F4" w:rsidRPr="00873B10">
        <w:rPr>
          <w:rFonts w:ascii="Calibri" w:hAnsi="Calibri"/>
          <w:sz w:val="20"/>
          <w:szCs w:val="20"/>
        </w:rPr>
        <w:t>reconciliations</w:t>
      </w:r>
      <w:r w:rsidR="00531B7C" w:rsidRPr="00873B10">
        <w:rPr>
          <w:rFonts w:ascii="Calibri" w:hAnsi="Calibri"/>
          <w:sz w:val="20"/>
          <w:szCs w:val="20"/>
        </w:rPr>
        <w:t xml:space="preserve"> and retaining the activity’s financial records for a period of 3 years.   </w:t>
      </w:r>
    </w:p>
    <w:p w:rsidR="003767F4" w:rsidRPr="00873B10" w:rsidRDefault="003767F4" w:rsidP="003767F4">
      <w:pPr>
        <w:tabs>
          <w:tab w:val="left" w:pos="720"/>
          <w:tab w:val="left" w:pos="1440"/>
          <w:tab w:val="left" w:pos="2160"/>
        </w:tabs>
        <w:ind w:right="720"/>
        <w:rPr>
          <w:rFonts w:ascii="Calibri" w:hAnsi="Calibri"/>
          <w:sz w:val="20"/>
          <w:szCs w:val="20"/>
        </w:rPr>
      </w:pPr>
    </w:p>
    <w:p w:rsidR="003767F4" w:rsidRPr="00873B10" w:rsidRDefault="003767F4" w:rsidP="00000FDC">
      <w:pPr>
        <w:tabs>
          <w:tab w:val="left" w:pos="720"/>
          <w:tab w:val="left" w:pos="1440"/>
          <w:tab w:val="left" w:pos="2160"/>
        </w:tabs>
        <w:ind w:left="720" w:right="720" w:hanging="720"/>
        <w:rPr>
          <w:rFonts w:ascii="Calibri" w:hAnsi="Calibri"/>
          <w:sz w:val="20"/>
          <w:szCs w:val="20"/>
        </w:rPr>
      </w:pPr>
      <w:r w:rsidRPr="00873B10">
        <w:rPr>
          <w:rFonts w:ascii="Calibri" w:hAnsi="Calibri"/>
          <w:sz w:val="20"/>
          <w:szCs w:val="20"/>
        </w:rPr>
        <w:t xml:space="preserve"> </w:t>
      </w:r>
      <w:r w:rsidR="00000FDC" w:rsidRPr="00873B10">
        <w:rPr>
          <w:rFonts w:ascii="Calibri" w:hAnsi="Calibri"/>
          <w:sz w:val="20"/>
          <w:szCs w:val="20"/>
        </w:rPr>
        <w:tab/>
      </w:r>
      <w:r w:rsidRPr="00873B10">
        <w:rPr>
          <w:rFonts w:ascii="Calibri" w:hAnsi="Calibri"/>
          <w:sz w:val="20"/>
          <w:szCs w:val="20"/>
        </w:rPr>
        <w:t xml:space="preserve">Educational grant requests must be communicated to the Provider (Northwestern University Feinberg School of Medicine) prior to the grant submission. A copy of all grant requests must be submitted to the Office of CME </w:t>
      </w:r>
      <w:r w:rsidR="001A69B6" w:rsidRPr="00873B10">
        <w:rPr>
          <w:rFonts w:ascii="Calibri" w:hAnsi="Calibri"/>
          <w:sz w:val="20"/>
          <w:szCs w:val="20"/>
        </w:rPr>
        <w:t xml:space="preserve">prior to their </w:t>
      </w:r>
      <w:r w:rsidRPr="00873B10">
        <w:rPr>
          <w:rFonts w:ascii="Calibri" w:hAnsi="Calibri"/>
          <w:sz w:val="20"/>
          <w:szCs w:val="20"/>
        </w:rPr>
        <w:t>su</w:t>
      </w:r>
      <w:r w:rsidR="001A69B6" w:rsidRPr="00873B10">
        <w:rPr>
          <w:rFonts w:ascii="Calibri" w:hAnsi="Calibri"/>
          <w:sz w:val="20"/>
          <w:szCs w:val="20"/>
        </w:rPr>
        <w:t xml:space="preserve">bmission </w:t>
      </w:r>
      <w:r w:rsidRPr="00873B10">
        <w:rPr>
          <w:rFonts w:ascii="Calibri" w:hAnsi="Calibri"/>
          <w:sz w:val="20"/>
          <w:szCs w:val="20"/>
        </w:rPr>
        <w:t>to the commercial company.</w:t>
      </w:r>
    </w:p>
    <w:p w:rsidR="003767F4" w:rsidRPr="00873B10" w:rsidRDefault="003767F4" w:rsidP="003767F4">
      <w:pPr>
        <w:tabs>
          <w:tab w:val="left" w:pos="720"/>
          <w:tab w:val="left" w:pos="1440"/>
          <w:tab w:val="left" w:pos="2160"/>
        </w:tabs>
        <w:ind w:right="720"/>
        <w:rPr>
          <w:rFonts w:ascii="Calibri" w:hAnsi="Calibri"/>
          <w:sz w:val="20"/>
          <w:szCs w:val="20"/>
        </w:rPr>
      </w:pPr>
    </w:p>
    <w:p w:rsidR="003767F4" w:rsidRPr="00873B10" w:rsidRDefault="00000FDC" w:rsidP="00000FDC">
      <w:pPr>
        <w:tabs>
          <w:tab w:val="left" w:pos="720"/>
          <w:tab w:val="left" w:pos="1440"/>
          <w:tab w:val="left" w:pos="2160"/>
        </w:tabs>
        <w:ind w:left="720" w:right="720" w:hanging="720"/>
        <w:rPr>
          <w:rFonts w:ascii="Calibri" w:hAnsi="Calibri"/>
          <w:sz w:val="20"/>
          <w:szCs w:val="20"/>
        </w:rPr>
      </w:pPr>
      <w:r w:rsidRPr="00873B10">
        <w:rPr>
          <w:rFonts w:ascii="Calibri" w:hAnsi="Calibri"/>
          <w:sz w:val="20"/>
          <w:szCs w:val="20"/>
        </w:rPr>
        <w:tab/>
      </w:r>
      <w:r w:rsidR="003767F4" w:rsidRPr="00873B10">
        <w:rPr>
          <w:rFonts w:ascii="Calibri" w:hAnsi="Calibri"/>
          <w:sz w:val="20"/>
          <w:szCs w:val="20"/>
        </w:rPr>
        <w:t>Grant submissions must reflect the anticipated income and expenditures for an upcoming activity.  It is appropriate to include a department administrative fee to cover the cost that the hosting department incurs for their faculty and administrative staff’s time to develop and execute the learning activity.  The letters of agreement must indicate how the funds are to be used (e.g., speaker’s honoraria, printing costs, etc.). The hosting department is responsible for reconciling the educational grant as stated in the letter of agreement.  If the letter of agreement states</w:t>
      </w:r>
      <w:r w:rsidR="00C52CB7" w:rsidRPr="00873B10">
        <w:rPr>
          <w:rFonts w:ascii="Calibri" w:hAnsi="Calibri"/>
          <w:sz w:val="20"/>
          <w:szCs w:val="20"/>
        </w:rPr>
        <w:t xml:space="preserve"> that</w:t>
      </w:r>
      <w:r w:rsidR="003767F4" w:rsidRPr="00873B10">
        <w:rPr>
          <w:rFonts w:ascii="Calibri" w:hAnsi="Calibri"/>
          <w:sz w:val="20"/>
          <w:szCs w:val="20"/>
        </w:rPr>
        <w:t xml:space="preserve"> the excess funds should be returned if the activity is cancelled or the activity does not require the entire amount of grants given, the excess amount must be returned.  For example, if the letter of agreement identifies the funds will be used for printing, and the printing cost are less than originally predicted, those excess funds must be returned.  In the event that multiple companies have issued educational grants, the excess funds will be returned only to those companies that have the requirement included in their agreement.</w:t>
      </w:r>
    </w:p>
    <w:p w:rsidR="003767F4" w:rsidRPr="00873B10" w:rsidRDefault="003767F4" w:rsidP="003767F4">
      <w:pPr>
        <w:tabs>
          <w:tab w:val="left" w:pos="720"/>
          <w:tab w:val="left" w:pos="1440"/>
          <w:tab w:val="left" w:pos="2160"/>
        </w:tabs>
        <w:ind w:right="720"/>
        <w:rPr>
          <w:rFonts w:ascii="Calibri" w:hAnsi="Calibri"/>
          <w:sz w:val="20"/>
          <w:szCs w:val="20"/>
        </w:rPr>
      </w:pPr>
    </w:p>
    <w:p w:rsidR="003767F4" w:rsidRPr="00873B10" w:rsidRDefault="00000FDC" w:rsidP="00906527">
      <w:pPr>
        <w:pStyle w:val="Heading2"/>
        <w:rPr>
          <w:rFonts w:ascii="Calibri" w:hAnsi="Calibri"/>
          <w:i w:val="0"/>
          <w:sz w:val="20"/>
          <w:szCs w:val="20"/>
        </w:rPr>
      </w:pPr>
      <w:bookmarkStart w:id="14" w:name="_Toc147032458"/>
      <w:r w:rsidRPr="00873B10">
        <w:rPr>
          <w:rFonts w:ascii="Calibri" w:hAnsi="Calibri"/>
          <w:i w:val="0"/>
          <w:sz w:val="20"/>
          <w:szCs w:val="20"/>
        </w:rPr>
        <w:tab/>
      </w:r>
      <w:bookmarkStart w:id="15" w:name="_Toc401304626"/>
      <w:bookmarkStart w:id="16" w:name="_Toc489540645"/>
      <w:r w:rsidR="003767F4" w:rsidRPr="00873B10">
        <w:rPr>
          <w:rFonts w:ascii="Calibri" w:hAnsi="Calibri"/>
          <w:i w:val="0"/>
          <w:sz w:val="20"/>
          <w:szCs w:val="20"/>
          <w:u w:val="single"/>
        </w:rPr>
        <w:t>Code of Professionalism for Commercial Company Representatives at a CME Activity</w:t>
      </w:r>
      <w:bookmarkEnd w:id="14"/>
      <w:r w:rsidR="003767F4" w:rsidRPr="00873B10">
        <w:rPr>
          <w:rFonts w:ascii="Calibri" w:hAnsi="Calibri"/>
          <w:i w:val="0"/>
          <w:sz w:val="20"/>
          <w:szCs w:val="20"/>
        </w:rPr>
        <w:t>:</w:t>
      </w:r>
      <w:bookmarkEnd w:id="15"/>
      <w:bookmarkEnd w:id="16"/>
    </w:p>
    <w:p w:rsidR="003767F4" w:rsidRPr="00873B10" w:rsidRDefault="00000FDC" w:rsidP="00000FDC">
      <w:pPr>
        <w:tabs>
          <w:tab w:val="left" w:pos="720"/>
          <w:tab w:val="left" w:pos="1440"/>
          <w:tab w:val="left" w:pos="2160"/>
        </w:tabs>
        <w:ind w:left="720" w:right="720" w:hanging="720"/>
        <w:rPr>
          <w:rFonts w:ascii="Calibri" w:hAnsi="Calibri"/>
          <w:sz w:val="20"/>
          <w:szCs w:val="20"/>
        </w:rPr>
      </w:pPr>
      <w:r w:rsidRPr="00873B10">
        <w:rPr>
          <w:rFonts w:ascii="Calibri" w:hAnsi="Calibri"/>
          <w:sz w:val="20"/>
          <w:szCs w:val="20"/>
        </w:rPr>
        <w:tab/>
      </w:r>
      <w:r w:rsidR="003767F4" w:rsidRPr="00873B10">
        <w:rPr>
          <w:rFonts w:ascii="Calibri" w:hAnsi="Calibri"/>
          <w:sz w:val="20"/>
          <w:szCs w:val="20"/>
        </w:rPr>
        <w:t xml:space="preserve">The course director of a CME activity may allow commercial companies to exhibit at a CME activity.  In these instances, the commercial company may have two representatives to staff the exhibit booth.  </w:t>
      </w:r>
      <w:r w:rsidR="006D118A" w:rsidRPr="00873B10">
        <w:rPr>
          <w:rFonts w:ascii="Calibri" w:hAnsi="Calibri"/>
          <w:sz w:val="20"/>
          <w:szCs w:val="20"/>
        </w:rPr>
        <w:t xml:space="preserve">If there are different levels of support (or fees to the exhibitors), any additional benefits provided to the exhibitors must be communicated and approved by the Office of CME.  </w:t>
      </w:r>
      <w:r w:rsidR="003767F4" w:rsidRPr="00873B10">
        <w:rPr>
          <w:rFonts w:ascii="Calibri" w:hAnsi="Calibri"/>
          <w:sz w:val="20"/>
          <w:szCs w:val="20"/>
        </w:rPr>
        <w:t xml:space="preserve">The representatives will be provided with one registration list (per company) consisting </w:t>
      </w:r>
      <w:r w:rsidR="0012590D" w:rsidRPr="00873B10">
        <w:rPr>
          <w:rFonts w:ascii="Calibri" w:hAnsi="Calibri"/>
          <w:sz w:val="20"/>
          <w:szCs w:val="20"/>
        </w:rPr>
        <w:t>of the participant</w:t>
      </w:r>
      <w:r w:rsidR="00AF7D45" w:rsidRPr="00873B10">
        <w:rPr>
          <w:rFonts w:ascii="Calibri" w:hAnsi="Calibri"/>
          <w:sz w:val="20"/>
          <w:szCs w:val="20"/>
        </w:rPr>
        <w:t>s</w:t>
      </w:r>
      <w:r w:rsidR="0012590D" w:rsidRPr="00873B10">
        <w:rPr>
          <w:rFonts w:ascii="Calibri" w:hAnsi="Calibri"/>
          <w:sz w:val="20"/>
          <w:szCs w:val="20"/>
        </w:rPr>
        <w:t>’</w:t>
      </w:r>
      <w:r w:rsidR="00AF7D45" w:rsidRPr="00873B10">
        <w:rPr>
          <w:rFonts w:ascii="Calibri" w:hAnsi="Calibri"/>
          <w:sz w:val="20"/>
          <w:szCs w:val="20"/>
        </w:rPr>
        <w:t xml:space="preserve"> names, cities</w:t>
      </w:r>
      <w:r w:rsidR="003767F4" w:rsidRPr="00873B10">
        <w:rPr>
          <w:rFonts w:ascii="Calibri" w:hAnsi="Calibri"/>
          <w:sz w:val="20"/>
          <w:szCs w:val="20"/>
        </w:rPr>
        <w:t xml:space="preserve"> &amp; states only.  At the conclusion of the activity (if approved by the course director) the representatives may have any remaining handout materials such as the activity syllabus.  </w:t>
      </w:r>
    </w:p>
    <w:p w:rsidR="003767F4" w:rsidRPr="00873B10" w:rsidRDefault="003767F4" w:rsidP="003767F4">
      <w:pPr>
        <w:tabs>
          <w:tab w:val="left" w:pos="720"/>
          <w:tab w:val="left" w:pos="1440"/>
          <w:tab w:val="left" w:pos="2160"/>
        </w:tabs>
        <w:ind w:right="720"/>
        <w:rPr>
          <w:rFonts w:ascii="Calibri" w:hAnsi="Calibri"/>
          <w:sz w:val="20"/>
          <w:szCs w:val="20"/>
        </w:rPr>
      </w:pPr>
    </w:p>
    <w:p w:rsidR="003767F4" w:rsidRPr="00873B10" w:rsidRDefault="00000FDC" w:rsidP="00000FDC">
      <w:pPr>
        <w:tabs>
          <w:tab w:val="left" w:pos="720"/>
          <w:tab w:val="left" w:pos="1440"/>
          <w:tab w:val="left" w:pos="2160"/>
        </w:tabs>
        <w:ind w:left="720" w:right="720" w:hanging="720"/>
        <w:rPr>
          <w:rFonts w:ascii="Calibri" w:hAnsi="Calibri"/>
          <w:sz w:val="20"/>
          <w:szCs w:val="20"/>
        </w:rPr>
      </w:pPr>
      <w:r w:rsidRPr="00873B10">
        <w:rPr>
          <w:rFonts w:ascii="Calibri" w:hAnsi="Calibri"/>
          <w:sz w:val="20"/>
          <w:szCs w:val="20"/>
        </w:rPr>
        <w:tab/>
      </w:r>
      <w:bookmarkStart w:id="17" w:name="OLE_LINK3"/>
      <w:bookmarkStart w:id="18" w:name="OLE_LINK4"/>
      <w:r w:rsidR="003767F4" w:rsidRPr="00873B10">
        <w:rPr>
          <w:rFonts w:ascii="Calibri" w:hAnsi="Calibri"/>
          <w:sz w:val="20"/>
          <w:szCs w:val="20"/>
        </w:rPr>
        <w:t xml:space="preserve">Commercial representatives may listen to lectures </w:t>
      </w:r>
      <w:r w:rsidR="00E278BC" w:rsidRPr="00873B10">
        <w:rPr>
          <w:rFonts w:ascii="Calibri" w:hAnsi="Calibri"/>
          <w:sz w:val="20"/>
          <w:szCs w:val="20"/>
        </w:rPr>
        <w:t>at the</w:t>
      </w:r>
      <w:r w:rsidR="003767F4" w:rsidRPr="00873B10">
        <w:rPr>
          <w:rFonts w:ascii="Calibri" w:hAnsi="Calibri"/>
          <w:sz w:val="20"/>
          <w:szCs w:val="20"/>
        </w:rPr>
        <w:t xml:space="preserve"> CME activity, but they are not considered participants and </w:t>
      </w:r>
      <w:r w:rsidR="00E278BC" w:rsidRPr="00873B10">
        <w:rPr>
          <w:rFonts w:ascii="Calibri" w:hAnsi="Calibri"/>
          <w:sz w:val="20"/>
          <w:szCs w:val="20"/>
        </w:rPr>
        <w:t>must refrain from commenting in the question and answer sessions</w:t>
      </w:r>
      <w:r w:rsidR="003767F4" w:rsidRPr="00873B10">
        <w:rPr>
          <w:rFonts w:ascii="Calibri" w:hAnsi="Calibri"/>
          <w:sz w:val="20"/>
          <w:szCs w:val="20"/>
        </w:rPr>
        <w:t>.</w:t>
      </w:r>
      <w:r w:rsidR="0012590D" w:rsidRPr="00873B10">
        <w:rPr>
          <w:rFonts w:ascii="Calibri" w:hAnsi="Calibri"/>
          <w:sz w:val="20"/>
          <w:szCs w:val="20"/>
        </w:rPr>
        <w:t xml:space="preserve">  F</w:t>
      </w:r>
      <w:r w:rsidR="003767F4" w:rsidRPr="00873B10">
        <w:rPr>
          <w:rFonts w:ascii="Calibri" w:hAnsi="Calibri"/>
          <w:sz w:val="20"/>
          <w:szCs w:val="20"/>
        </w:rPr>
        <w:t>SM expects the commercial representative to refrain from inviting the faculty, guests or participants to social events that are not related to the CME activity</w:t>
      </w:r>
      <w:bookmarkEnd w:id="17"/>
      <w:bookmarkEnd w:id="18"/>
      <w:r w:rsidR="003767F4" w:rsidRPr="00873B10">
        <w:rPr>
          <w:rFonts w:ascii="Calibri" w:hAnsi="Calibri"/>
          <w:sz w:val="20"/>
          <w:szCs w:val="20"/>
        </w:rPr>
        <w:t>.</w:t>
      </w:r>
    </w:p>
    <w:p w:rsidR="003767F4" w:rsidRPr="00873B10" w:rsidRDefault="003767F4" w:rsidP="003767F4">
      <w:pPr>
        <w:tabs>
          <w:tab w:val="left" w:pos="720"/>
          <w:tab w:val="left" w:pos="1440"/>
          <w:tab w:val="left" w:pos="2160"/>
        </w:tabs>
        <w:ind w:right="720"/>
        <w:rPr>
          <w:rFonts w:ascii="Calibri" w:hAnsi="Calibri"/>
          <w:sz w:val="20"/>
          <w:szCs w:val="20"/>
        </w:rPr>
      </w:pPr>
    </w:p>
    <w:p w:rsidR="003767F4" w:rsidRPr="00873B10" w:rsidRDefault="00000FDC" w:rsidP="00906527">
      <w:pPr>
        <w:pStyle w:val="Heading2"/>
        <w:rPr>
          <w:rFonts w:ascii="Calibri" w:hAnsi="Calibri"/>
          <w:sz w:val="20"/>
          <w:szCs w:val="20"/>
        </w:rPr>
      </w:pPr>
      <w:bookmarkStart w:id="19" w:name="_Toc147032460"/>
      <w:r w:rsidRPr="00873B10">
        <w:rPr>
          <w:rFonts w:ascii="Calibri" w:hAnsi="Calibri"/>
          <w:sz w:val="20"/>
          <w:szCs w:val="20"/>
        </w:rPr>
        <w:tab/>
      </w:r>
      <w:bookmarkStart w:id="20" w:name="_Toc401304627"/>
      <w:bookmarkStart w:id="21" w:name="_Toc489540646"/>
      <w:r w:rsidR="003767F4" w:rsidRPr="00873B10">
        <w:rPr>
          <w:rFonts w:ascii="Calibri" w:hAnsi="Calibri"/>
          <w:i w:val="0"/>
          <w:sz w:val="20"/>
          <w:szCs w:val="20"/>
          <w:u w:val="single"/>
        </w:rPr>
        <w:t>Exhibitor</w:t>
      </w:r>
      <w:r w:rsidR="00AF7D45" w:rsidRPr="00873B10">
        <w:rPr>
          <w:rFonts w:ascii="Calibri" w:hAnsi="Calibri"/>
          <w:i w:val="0"/>
          <w:sz w:val="20"/>
          <w:szCs w:val="20"/>
          <w:u w:val="single"/>
        </w:rPr>
        <w:t xml:space="preserve"> </w:t>
      </w:r>
      <w:r w:rsidR="003767F4" w:rsidRPr="00873B10">
        <w:rPr>
          <w:rFonts w:ascii="Calibri" w:hAnsi="Calibri"/>
          <w:i w:val="0"/>
          <w:sz w:val="20"/>
          <w:szCs w:val="20"/>
          <w:u w:val="single"/>
        </w:rPr>
        <w:t>Policies</w:t>
      </w:r>
      <w:bookmarkEnd w:id="19"/>
      <w:r w:rsidR="003767F4" w:rsidRPr="00873B10">
        <w:rPr>
          <w:rFonts w:ascii="Calibri" w:hAnsi="Calibri"/>
          <w:sz w:val="20"/>
          <w:szCs w:val="20"/>
        </w:rPr>
        <w:t>:</w:t>
      </w:r>
      <w:bookmarkEnd w:id="20"/>
      <w:bookmarkEnd w:id="21"/>
    </w:p>
    <w:p w:rsidR="006D118A" w:rsidRPr="00873B10" w:rsidRDefault="00000FDC" w:rsidP="006D118A">
      <w:pPr>
        <w:tabs>
          <w:tab w:val="left" w:pos="720"/>
          <w:tab w:val="left" w:pos="1440"/>
          <w:tab w:val="left" w:pos="2160"/>
        </w:tabs>
        <w:ind w:left="720" w:right="720" w:hanging="720"/>
        <w:rPr>
          <w:rFonts w:ascii="Calibri" w:hAnsi="Calibri"/>
          <w:sz w:val="20"/>
          <w:szCs w:val="20"/>
        </w:rPr>
      </w:pPr>
      <w:r w:rsidRPr="00873B10">
        <w:rPr>
          <w:rFonts w:ascii="Calibri" w:hAnsi="Calibri"/>
          <w:sz w:val="20"/>
          <w:szCs w:val="20"/>
        </w:rPr>
        <w:tab/>
      </w:r>
      <w:r w:rsidR="00AF7D45" w:rsidRPr="00873B10">
        <w:rPr>
          <w:rFonts w:ascii="Calibri" w:hAnsi="Calibri"/>
          <w:sz w:val="20"/>
          <w:szCs w:val="20"/>
        </w:rPr>
        <w:t xml:space="preserve">Monies paid by commercial interest for exhibit space and advertisement are promotional in nature and are not considered to be “commercial support”.  </w:t>
      </w:r>
      <w:r w:rsidR="003767F4" w:rsidRPr="00873B10">
        <w:rPr>
          <w:rFonts w:ascii="Calibri" w:hAnsi="Calibri"/>
          <w:sz w:val="20"/>
          <w:szCs w:val="20"/>
        </w:rPr>
        <w:t xml:space="preserve">An exhibitor is defined as a company that has purchased a display booth as an advertisement for their company.  A designated exhibitor area must be identified and the opportunity to purchase an exhibit booth must be open to multiple companies.  </w:t>
      </w:r>
      <w:r w:rsidR="006D118A" w:rsidRPr="00873B10">
        <w:rPr>
          <w:rFonts w:ascii="Calibri" w:hAnsi="Calibri"/>
          <w:sz w:val="20"/>
          <w:szCs w:val="20"/>
        </w:rPr>
        <w:t>The invitation letter to commercial companies must be reviewed and approved by the Office of CME prior to their distribution.</w:t>
      </w:r>
    </w:p>
    <w:p w:rsidR="003767F4" w:rsidRPr="00873B10" w:rsidRDefault="003767F4" w:rsidP="00000FDC">
      <w:pPr>
        <w:tabs>
          <w:tab w:val="left" w:pos="720"/>
          <w:tab w:val="left" w:pos="1440"/>
          <w:tab w:val="left" w:pos="2160"/>
        </w:tabs>
        <w:ind w:left="720" w:right="720" w:hanging="720"/>
        <w:rPr>
          <w:rFonts w:ascii="Calibri" w:hAnsi="Calibri"/>
          <w:sz w:val="20"/>
          <w:szCs w:val="20"/>
        </w:rPr>
      </w:pPr>
    </w:p>
    <w:p w:rsidR="00AF7D45" w:rsidRPr="00873B10" w:rsidRDefault="00AF7D45" w:rsidP="00AF7D45">
      <w:pPr>
        <w:tabs>
          <w:tab w:val="left" w:pos="720"/>
          <w:tab w:val="left" w:pos="1440"/>
          <w:tab w:val="left" w:pos="2160"/>
        </w:tabs>
        <w:ind w:left="720" w:right="720" w:hanging="720"/>
        <w:rPr>
          <w:rFonts w:ascii="Calibri" w:hAnsi="Calibri"/>
          <w:sz w:val="20"/>
          <w:szCs w:val="20"/>
        </w:rPr>
      </w:pPr>
      <w:r w:rsidRPr="00873B10">
        <w:rPr>
          <w:rFonts w:ascii="Calibri" w:hAnsi="Calibri"/>
          <w:sz w:val="20"/>
          <w:szCs w:val="20"/>
        </w:rPr>
        <w:tab/>
        <w:t>Compliance with Standard 4 – Appropriate Management of Associated Commercial Promotion in the ACCME Standards for Commercial Support Commercial applies.</w:t>
      </w:r>
    </w:p>
    <w:p w:rsidR="003767F4" w:rsidRPr="00873B10" w:rsidRDefault="003767F4" w:rsidP="003767F4">
      <w:pPr>
        <w:tabs>
          <w:tab w:val="left" w:pos="720"/>
          <w:tab w:val="left" w:pos="1440"/>
          <w:tab w:val="left" w:pos="2160"/>
        </w:tabs>
        <w:ind w:right="720"/>
        <w:rPr>
          <w:rFonts w:ascii="Calibri" w:hAnsi="Calibri"/>
          <w:sz w:val="20"/>
          <w:szCs w:val="20"/>
        </w:rPr>
      </w:pPr>
    </w:p>
    <w:p w:rsidR="00C352DC" w:rsidRPr="00873B10" w:rsidRDefault="00000FDC" w:rsidP="00C352DC">
      <w:pPr>
        <w:tabs>
          <w:tab w:val="left" w:pos="720"/>
          <w:tab w:val="left" w:pos="1440"/>
          <w:tab w:val="left" w:pos="2160"/>
        </w:tabs>
        <w:ind w:right="720"/>
        <w:rPr>
          <w:rFonts w:ascii="Calibri" w:hAnsi="Calibri"/>
          <w:sz w:val="20"/>
          <w:szCs w:val="20"/>
        </w:rPr>
      </w:pPr>
      <w:r w:rsidRPr="00873B10">
        <w:rPr>
          <w:rFonts w:ascii="Calibri" w:hAnsi="Calibri"/>
          <w:sz w:val="20"/>
          <w:szCs w:val="20"/>
        </w:rPr>
        <w:tab/>
      </w:r>
      <w:r w:rsidR="003767F4" w:rsidRPr="00873B10">
        <w:rPr>
          <w:rFonts w:ascii="Calibri" w:hAnsi="Calibri"/>
          <w:sz w:val="20"/>
          <w:szCs w:val="20"/>
        </w:rPr>
        <w:t>Exhibits:</w:t>
      </w:r>
    </w:p>
    <w:p w:rsidR="003767F4" w:rsidRPr="00873B10" w:rsidRDefault="003767F4" w:rsidP="00CC5B27">
      <w:pPr>
        <w:numPr>
          <w:ilvl w:val="0"/>
          <w:numId w:val="4"/>
        </w:numPr>
        <w:tabs>
          <w:tab w:val="clear" w:pos="720"/>
          <w:tab w:val="left" w:pos="1440"/>
          <w:tab w:val="left" w:pos="2160"/>
        </w:tabs>
        <w:ind w:left="1440" w:right="720" w:hanging="720"/>
        <w:rPr>
          <w:rFonts w:ascii="Calibri" w:hAnsi="Calibri"/>
          <w:sz w:val="20"/>
          <w:szCs w:val="20"/>
        </w:rPr>
      </w:pPr>
      <w:r w:rsidRPr="00873B10">
        <w:rPr>
          <w:rFonts w:ascii="Calibri" w:hAnsi="Calibri"/>
          <w:sz w:val="20"/>
          <w:szCs w:val="20"/>
        </w:rPr>
        <w:t>Cannot influence planning or interfere with the presentation, nor can they be a condition of the commercial support</w:t>
      </w:r>
    </w:p>
    <w:p w:rsidR="003767F4" w:rsidRPr="00873B10" w:rsidRDefault="003767F4" w:rsidP="00CC5B27">
      <w:pPr>
        <w:numPr>
          <w:ilvl w:val="0"/>
          <w:numId w:val="4"/>
        </w:numPr>
        <w:tabs>
          <w:tab w:val="clear" w:pos="720"/>
          <w:tab w:val="left" w:pos="1440"/>
          <w:tab w:val="left" w:pos="2160"/>
        </w:tabs>
        <w:ind w:left="1440" w:right="720" w:hanging="720"/>
        <w:rPr>
          <w:rFonts w:ascii="Calibri" w:hAnsi="Calibri"/>
          <w:sz w:val="20"/>
          <w:szCs w:val="20"/>
        </w:rPr>
      </w:pPr>
      <w:r w:rsidRPr="00873B10">
        <w:rPr>
          <w:rFonts w:ascii="Calibri" w:hAnsi="Calibri"/>
          <w:sz w:val="20"/>
          <w:szCs w:val="20"/>
        </w:rPr>
        <w:t xml:space="preserve">Product / promotional materials of any type </w:t>
      </w:r>
      <w:r w:rsidR="0012590D" w:rsidRPr="00873B10">
        <w:rPr>
          <w:rFonts w:ascii="Calibri" w:hAnsi="Calibri"/>
          <w:sz w:val="20"/>
          <w:szCs w:val="20"/>
        </w:rPr>
        <w:t>are</w:t>
      </w:r>
      <w:r w:rsidRPr="00873B10">
        <w:rPr>
          <w:rFonts w:ascii="Calibri" w:hAnsi="Calibri"/>
          <w:sz w:val="20"/>
          <w:szCs w:val="20"/>
        </w:rPr>
        <w:t xml:space="preserve"> prohibited in or during the CME activities.  The juxtaposition of advertising materials must be kept separate from the CME activity</w:t>
      </w:r>
    </w:p>
    <w:p w:rsidR="005B3174" w:rsidRPr="00873B10" w:rsidRDefault="003767F4" w:rsidP="00CC5B27">
      <w:pPr>
        <w:numPr>
          <w:ilvl w:val="0"/>
          <w:numId w:val="4"/>
        </w:numPr>
        <w:tabs>
          <w:tab w:val="clear" w:pos="720"/>
          <w:tab w:val="left" w:pos="1440"/>
          <w:tab w:val="left" w:pos="2160"/>
        </w:tabs>
        <w:ind w:left="1440" w:right="720" w:hanging="720"/>
        <w:rPr>
          <w:rFonts w:ascii="Calibri" w:hAnsi="Calibri"/>
          <w:b/>
          <w:sz w:val="20"/>
          <w:szCs w:val="20"/>
        </w:rPr>
      </w:pPr>
      <w:r w:rsidRPr="00873B10">
        <w:rPr>
          <w:rFonts w:ascii="Calibri" w:hAnsi="Calibri"/>
          <w:sz w:val="20"/>
          <w:szCs w:val="20"/>
        </w:rPr>
        <w:t xml:space="preserve">Advertisements and promotional materials cannot be displayed or distributed in the educational space immediately before, during, or after a CME activity.  </w:t>
      </w:r>
    </w:p>
    <w:p w:rsidR="000206E1" w:rsidRPr="00873B10" w:rsidRDefault="000206E1" w:rsidP="00CC5B27">
      <w:pPr>
        <w:numPr>
          <w:ilvl w:val="0"/>
          <w:numId w:val="4"/>
        </w:numPr>
        <w:tabs>
          <w:tab w:val="clear" w:pos="720"/>
          <w:tab w:val="left" w:pos="1440"/>
          <w:tab w:val="left" w:pos="2160"/>
        </w:tabs>
        <w:ind w:left="1440" w:right="720" w:hanging="720"/>
        <w:rPr>
          <w:rFonts w:ascii="Calibri" w:hAnsi="Calibri"/>
          <w:b/>
          <w:sz w:val="20"/>
          <w:szCs w:val="20"/>
        </w:rPr>
      </w:pPr>
      <w:r w:rsidRPr="00873B10">
        <w:rPr>
          <w:rFonts w:ascii="Calibri" w:hAnsi="Calibri"/>
          <w:sz w:val="20"/>
          <w:szCs w:val="20"/>
        </w:rPr>
        <w:t>Products and/or promotional materials may not be distribute at the CME activity’s registration desk or included in the activity’s handout materials.</w:t>
      </w:r>
    </w:p>
    <w:p w:rsidR="000206E1" w:rsidRPr="00873B10" w:rsidRDefault="000206E1" w:rsidP="00CC5B27">
      <w:pPr>
        <w:numPr>
          <w:ilvl w:val="0"/>
          <w:numId w:val="4"/>
        </w:numPr>
        <w:tabs>
          <w:tab w:val="clear" w:pos="720"/>
          <w:tab w:val="left" w:pos="1440"/>
          <w:tab w:val="left" w:pos="2160"/>
        </w:tabs>
        <w:ind w:left="1440" w:right="720" w:hanging="720"/>
        <w:rPr>
          <w:rFonts w:ascii="Calibri" w:hAnsi="Calibri"/>
          <w:sz w:val="20"/>
          <w:szCs w:val="20"/>
        </w:rPr>
      </w:pPr>
      <w:r w:rsidRPr="00873B10">
        <w:rPr>
          <w:rFonts w:ascii="Calibri" w:hAnsi="Calibri"/>
          <w:sz w:val="20"/>
          <w:szCs w:val="20"/>
        </w:rPr>
        <w:t xml:space="preserve">The acknowledgement </w:t>
      </w:r>
      <w:r w:rsidR="00AF7D45" w:rsidRPr="00873B10">
        <w:rPr>
          <w:rFonts w:ascii="Calibri" w:hAnsi="Calibri"/>
          <w:sz w:val="20"/>
          <w:szCs w:val="20"/>
        </w:rPr>
        <w:t xml:space="preserve">of </w:t>
      </w:r>
      <w:r w:rsidRPr="00873B10">
        <w:rPr>
          <w:rFonts w:ascii="Calibri" w:hAnsi="Calibri"/>
          <w:sz w:val="20"/>
          <w:szCs w:val="20"/>
        </w:rPr>
        <w:t xml:space="preserve">exhibitors may be printed on the CME activity’s tote bag.  However all exhibitors must be acknowledged, a single company or their logo may not be singled out.   </w:t>
      </w:r>
    </w:p>
    <w:p w:rsidR="003767F4" w:rsidRPr="00873B10" w:rsidRDefault="005B3174" w:rsidP="00CC5B27">
      <w:pPr>
        <w:numPr>
          <w:ilvl w:val="0"/>
          <w:numId w:val="4"/>
        </w:numPr>
        <w:tabs>
          <w:tab w:val="clear" w:pos="720"/>
          <w:tab w:val="left" w:pos="1440"/>
          <w:tab w:val="left" w:pos="2160"/>
        </w:tabs>
        <w:ind w:left="1440" w:right="720" w:hanging="720"/>
        <w:rPr>
          <w:rFonts w:ascii="Calibri" w:hAnsi="Calibri"/>
          <w:b/>
          <w:sz w:val="20"/>
          <w:szCs w:val="20"/>
        </w:rPr>
      </w:pPr>
      <w:r w:rsidRPr="00873B10">
        <w:rPr>
          <w:rFonts w:ascii="Calibri" w:hAnsi="Calibri"/>
          <w:sz w:val="20"/>
          <w:szCs w:val="20"/>
        </w:rPr>
        <w:t>R</w:t>
      </w:r>
      <w:r w:rsidR="003767F4" w:rsidRPr="00873B10">
        <w:rPr>
          <w:rFonts w:ascii="Calibri" w:hAnsi="Calibri"/>
          <w:sz w:val="20"/>
          <w:szCs w:val="20"/>
        </w:rPr>
        <w:t xml:space="preserve">epresentatives of the commercial companies </w:t>
      </w:r>
      <w:r w:rsidRPr="00873B10">
        <w:rPr>
          <w:rFonts w:ascii="Calibri" w:hAnsi="Calibri"/>
          <w:sz w:val="20"/>
          <w:szCs w:val="20"/>
        </w:rPr>
        <w:t xml:space="preserve">may not </w:t>
      </w:r>
      <w:r w:rsidR="003767F4" w:rsidRPr="00873B10">
        <w:rPr>
          <w:rFonts w:ascii="Calibri" w:hAnsi="Calibri"/>
          <w:sz w:val="20"/>
          <w:szCs w:val="20"/>
        </w:rPr>
        <w:t>engage in sales or promotional activities while in the space of place or the CME activity.</w:t>
      </w:r>
    </w:p>
    <w:p w:rsidR="003767F4" w:rsidRPr="00873B10" w:rsidRDefault="003767F4" w:rsidP="00CC5B27">
      <w:pPr>
        <w:numPr>
          <w:ilvl w:val="0"/>
          <w:numId w:val="4"/>
        </w:numPr>
        <w:tabs>
          <w:tab w:val="clear" w:pos="720"/>
          <w:tab w:val="left" w:pos="1440"/>
          <w:tab w:val="left" w:pos="2160"/>
        </w:tabs>
        <w:ind w:left="1440" w:right="720" w:hanging="720"/>
        <w:rPr>
          <w:rFonts w:ascii="Calibri" w:hAnsi="Calibri"/>
          <w:b/>
          <w:sz w:val="20"/>
          <w:szCs w:val="20"/>
        </w:rPr>
      </w:pPr>
      <w:r w:rsidRPr="00873B10">
        <w:rPr>
          <w:rFonts w:ascii="Calibri" w:hAnsi="Calibri"/>
          <w:sz w:val="20"/>
          <w:szCs w:val="20"/>
        </w:rPr>
        <w:t>Must be acknowledged as exhibitors not supporter</w:t>
      </w:r>
      <w:r w:rsidR="001925B7" w:rsidRPr="00873B10">
        <w:rPr>
          <w:rFonts w:ascii="Calibri" w:hAnsi="Calibri"/>
          <w:sz w:val="20"/>
          <w:szCs w:val="20"/>
        </w:rPr>
        <w:t>s</w:t>
      </w:r>
      <w:r w:rsidRPr="00873B10">
        <w:rPr>
          <w:rFonts w:ascii="Calibri" w:hAnsi="Calibri"/>
          <w:sz w:val="20"/>
          <w:szCs w:val="20"/>
        </w:rPr>
        <w:t xml:space="preserve">.  </w:t>
      </w:r>
    </w:p>
    <w:p w:rsidR="003240C8" w:rsidRPr="00873B10" w:rsidRDefault="003240C8" w:rsidP="00CC5B27">
      <w:pPr>
        <w:numPr>
          <w:ilvl w:val="0"/>
          <w:numId w:val="4"/>
        </w:numPr>
        <w:tabs>
          <w:tab w:val="clear" w:pos="720"/>
          <w:tab w:val="left" w:pos="1440"/>
          <w:tab w:val="left" w:pos="2160"/>
        </w:tabs>
        <w:ind w:left="1440" w:right="720" w:hanging="720"/>
        <w:rPr>
          <w:rFonts w:ascii="Calibri" w:hAnsi="Calibri"/>
          <w:b/>
          <w:sz w:val="20"/>
          <w:szCs w:val="20"/>
        </w:rPr>
      </w:pPr>
      <w:r w:rsidRPr="00873B10">
        <w:rPr>
          <w:rFonts w:ascii="Calibri" w:hAnsi="Calibri"/>
          <w:sz w:val="20"/>
          <w:szCs w:val="20"/>
        </w:rPr>
        <w:t xml:space="preserve">Exhibitors must sign </w:t>
      </w:r>
      <w:r w:rsidR="00037135" w:rsidRPr="00873B10">
        <w:rPr>
          <w:rFonts w:ascii="Calibri" w:hAnsi="Calibri"/>
          <w:sz w:val="20"/>
          <w:szCs w:val="20"/>
        </w:rPr>
        <w:t>FSM</w:t>
      </w:r>
      <w:r w:rsidRPr="00873B10">
        <w:rPr>
          <w:rFonts w:ascii="Calibri" w:hAnsi="Calibri"/>
          <w:sz w:val="20"/>
          <w:szCs w:val="20"/>
        </w:rPr>
        <w:t>’s Hold Harmless Agreement</w:t>
      </w:r>
    </w:p>
    <w:p w:rsidR="0007415F" w:rsidRPr="00873B10" w:rsidRDefault="006637FE" w:rsidP="0007415F">
      <w:pPr>
        <w:pStyle w:val="Heading2"/>
        <w:rPr>
          <w:rFonts w:ascii="Calibri" w:hAnsi="Calibri"/>
          <w:sz w:val="20"/>
          <w:szCs w:val="20"/>
        </w:rPr>
      </w:pPr>
      <w:r w:rsidRPr="00873B10">
        <w:rPr>
          <w:rFonts w:ascii="Calibri" w:hAnsi="Calibri"/>
          <w:sz w:val="20"/>
          <w:szCs w:val="20"/>
        </w:rPr>
        <w:tab/>
      </w:r>
    </w:p>
    <w:p w:rsidR="0007415F" w:rsidRPr="00873B10" w:rsidRDefault="0007415F" w:rsidP="0007415F">
      <w:pPr>
        <w:pStyle w:val="Heading2"/>
        <w:ind w:firstLine="720"/>
        <w:rPr>
          <w:rFonts w:ascii="Calibri" w:hAnsi="Calibri"/>
          <w:i w:val="0"/>
          <w:sz w:val="20"/>
          <w:szCs w:val="20"/>
          <w:u w:val="single"/>
        </w:rPr>
      </w:pPr>
      <w:bookmarkStart w:id="22" w:name="_Toc401304628"/>
      <w:bookmarkStart w:id="23" w:name="_Toc489540647"/>
      <w:r w:rsidRPr="00873B10">
        <w:rPr>
          <w:rFonts w:ascii="Calibri" w:hAnsi="Calibri"/>
          <w:i w:val="0"/>
          <w:sz w:val="20"/>
          <w:szCs w:val="20"/>
          <w:u w:val="single"/>
        </w:rPr>
        <w:t>Advertisement Policies</w:t>
      </w:r>
      <w:r w:rsidRPr="00873B10">
        <w:rPr>
          <w:rFonts w:ascii="Calibri" w:hAnsi="Calibri"/>
          <w:i w:val="0"/>
          <w:sz w:val="20"/>
          <w:szCs w:val="20"/>
        </w:rPr>
        <w:t>:</w:t>
      </w:r>
      <w:bookmarkEnd w:id="22"/>
      <w:bookmarkEnd w:id="23"/>
    </w:p>
    <w:p w:rsidR="0007415F" w:rsidRPr="00873B10" w:rsidRDefault="0007415F" w:rsidP="0007415F">
      <w:pPr>
        <w:tabs>
          <w:tab w:val="left" w:pos="720"/>
          <w:tab w:val="left" w:pos="1440"/>
          <w:tab w:val="left" w:pos="2160"/>
        </w:tabs>
        <w:ind w:left="720" w:right="720" w:hanging="720"/>
        <w:rPr>
          <w:rFonts w:ascii="Calibri" w:hAnsi="Calibri"/>
          <w:sz w:val="20"/>
          <w:szCs w:val="20"/>
        </w:rPr>
      </w:pPr>
      <w:r w:rsidRPr="00873B10">
        <w:rPr>
          <w:rFonts w:ascii="Calibri" w:hAnsi="Calibri"/>
          <w:sz w:val="20"/>
          <w:szCs w:val="20"/>
        </w:rPr>
        <w:tab/>
        <w:t>Monies paid by commercial interest for advertisement are promotional in nature and are not consider</w:t>
      </w:r>
      <w:r w:rsidR="00BE25FA" w:rsidRPr="00873B10">
        <w:rPr>
          <w:rFonts w:ascii="Calibri" w:hAnsi="Calibri"/>
          <w:sz w:val="20"/>
          <w:szCs w:val="20"/>
        </w:rPr>
        <w:t xml:space="preserve">ed to be “commercial support”.   </w:t>
      </w:r>
      <w:r w:rsidRPr="00873B10">
        <w:rPr>
          <w:rFonts w:ascii="Calibri" w:hAnsi="Calibri"/>
          <w:sz w:val="20"/>
          <w:szCs w:val="20"/>
        </w:rPr>
        <w:t>The invitation letter to commercial companies must be reviewed and approved by the Office of CME prior to their distribution.</w:t>
      </w:r>
    </w:p>
    <w:p w:rsidR="0007415F" w:rsidRPr="00873B10" w:rsidRDefault="0007415F" w:rsidP="0007415F">
      <w:pPr>
        <w:tabs>
          <w:tab w:val="left" w:pos="720"/>
          <w:tab w:val="left" w:pos="1440"/>
          <w:tab w:val="left" w:pos="2160"/>
        </w:tabs>
        <w:ind w:left="720" w:right="720" w:hanging="720"/>
        <w:rPr>
          <w:rFonts w:ascii="Calibri" w:hAnsi="Calibri"/>
          <w:sz w:val="20"/>
          <w:szCs w:val="20"/>
        </w:rPr>
      </w:pPr>
    </w:p>
    <w:p w:rsidR="0007415F" w:rsidRPr="00873B10" w:rsidRDefault="0007415F" w:rsidP="0007415F">
      <w:pPr>
        <w:tabs>
          <w:tab w:val="left" w:pos="720"/>
          <w:tab w:val="left" w:pos="1440"/>
          <w:tab w:val="left" w:pos="2160"/>
        </w:tabs>
        <w:ind w:left="720" w:right="720" w:hanging="720"/>
        <w:rPr>
          <w:rFonts w:ascii="Calibri" w:hAnsi="Calibri"/>
          <w:sz w:val="20"/>
          <w:szCs w:val="20"/>
        </w:rPr>
      </w:pPr>
      <w:r w:rsidRPr="00873B10">
        <w:rPr>
          <w:rFonts w:ascii="Calibri" w:hAnsi="Calibri"/>
          <w:sz w:val="20"/>
          <w:szCs w:val="20"/>
        </w:rPr>
        <w:tab/>
        <w:t>Compliance with Standard 4 – Appropriate Management of Associated Commercial Promotion in the ACCME Standards for Commercial Support Commercial applies.</w:t>
      </w:r>
    </w:p>
    <w:p w:rsidR="001925B7" w:rsidRPr="00873B10" w:rsidRDefault="001925B7" w:rsidP="006530D5">
      <w:pPr>
        <w:ind w:left="720"/>
        <w:rPr>
          <w:rFonts w:ascii="Calibri" w:hAnsi="Calibri"/>
          <w:sz w:val="20"/>
        </w:rPr>
      </w:pPr>
    </w:p>
    <w:p w:rsidR="006637FE" w:rsidRPr="00873B10" w:rsidRDefault="003767F4" w:rsidP="006530D5">
      <w:pPr>
        <w:ind w:left="720"/>
        <w:rPr>
          <w:rFonts w:ascii="Calibri" w:hAnsi="Calibri"/>
          <w:sz w:val="20"/>
        </w:rPr>
      </w:pPr>
      <w:bookmarkStart w:id="24" w:name="_Toc272328913"/>
      <w:bookmarkStart w:id="25" w:name="_Toc272412243"/>
      <w:bookmarkStart w:id="26" w:name="_Toc272419642"/>
      <w:r w:rsidRPr="00873B10">
        <w:rPr>
          <w:rFonts w:ascii="Calibri" w:hAnsi="Calibri"/>
          <w:sz w:val="20"/>
        </w:rPr>
        <w:t>CME programs may sell advertising space.  The advertisement may not be interleafed within the pages of the CME content.  Advertisements must be separate from all educational materials and must be clearly identified as an advertisement.</w:t>
      </w:r>
      <w:r w:rsidR="008740CD" w:rsidRPr="00873B10">
        <w:rPr>
          <w:rFonts w:ascii="Calibri" w:hAnsi="Calibri"/>
          <w:sz w:val="20"/>
        </w:rPr>
        <w:t xml:space="preserve">   Advertising may be place</w:t>
      </w:r>
      <w:r w:rsidR="00AF7D45" w:rsidRPr="00873B10">
        <w:rPr>
          <w:rFonts w:ascii="Calibri" w:hAnsi="Calibri"/>
          <w:sz w:val="20"/>
        </w:rPr>
        <w:t>d</w:t>
      </w:r>
      <w:r w:rsidR="008740CD" w:rsidRPr="00873B10">
        <w:rPr>
          <w:rFonts w:ascii="Calibri" w:hAnsi="Calibri"/>
          <w:sz w:val="20"/>
        </w:rPr>
        <w:t xml:space="preserve"> on the </w:t>
      </w:r>
      <w:r w:rsidR="00954342" w:rsidRPr="00873B10">
        <w:rPr>
          <w:rFonts w:ascii="Calibri" w:hAnsi="Calibri"/>
          <w:sz w:val="20"/>
        </w:rPr>
        <w:t>activity</w:t>
      </w:r>
      <w:r w:rsidR="008740CD" w:rsidRPr="00873B10">
        <w:rPr>
          <w:rFonts w:ascii="Calibri" w:hAnsi="Calibri"/>
          <w:sz w:val="20"/>
        </w:rPr>
        <w:t xml:space="preserve"> website, however, if a link is provided to the company’s website it must be communicated that the individuals are leaving the </w:t>
      </w:r>
      <w:r w:rsidR="00954342" w:rsidRPr="00873B10">
        <w:rPr>
          <w:rFonts w:ascii="Calibri" w:hAnsi="Calibri"/>
          <w:sz w:val="20"/>
        </w:rPr>
        <w:t>activity</w:t>
      </w:r>
      <w:r w:rsidR="008740CD" w:rsidRPr="00873B10">
        <w:rPr>
          <w:rFonts w:ascii="Calibri" w:hAnsi="Calibri"/>
          <w:sz w:val="20"/>
        </w:rPr>
        <w:t xml:space="preserve"> website.</w:t>
      </w:r>
      <w:r w:rsidR="00596587" w:rsidRPr="00873B10">
        <w:rPr>
          <w:rFonts w:ascii="Calibri" w:hAnsi="Calibri"/>
          <w:sz w:val="20"/>
        </w:rPr>
        <w:t xml:space="preserve">  The restrictions for advertising on the </w:t>
      </w:r>
      <w:r w:rsidR="00954342" w:rsidRPr="00873B10">
        <w:rPr>
          <w:rFonts w:ascii="Calibri" w:hAnsi="Calibri"/>
          <w:sz w:val="20"/>
        </w:rPr>
        <w:t>activity</w:t>
      </w:r>
      <w:r w:rsidR="00596587" w:rsidRPr="00873B10">
        <w:rPr>
          <w:rFonts w:ascii="Calibri" w:hAnsi="Calibri"/>
          <w:sz w:val="20"/>
        </w:rPr>
        <w:t xml:space="preserve"> website mirror the ACCME’s requirements for linking to a commercial website from a web-base</w:t>
      </w:r>
      <w:r w:rsidR="00AF7D45" w:rsidRPr="00873B10">
        <w:rPr>
          <w:rFonts w:ascii="Calibri" w:hAnsi="Calibri"/>
          <w:sz w:val="20"/>
        </w:rPr>
        <w:t>d</w:t>
      </w:r>
      <w:r w:rsidR="00596587" w:rsidRPr="00873B10">
        <w:rPr>
          <w:rFonts w:ascii="Calibri" w:hAnsi="Calibri"/>
          <w:sz w:val="20"/>
        </w:rPr>
        <w:t xml:space="preserve"> CME activity.  </w:t>
      </w:r>
      <w:r w:rsidR="008740CD" w:rsidRPr="00873B10">
        <w:rPr>
          <w:rFonts w:ascii="Calibri" w:hAnsi="Calibri"/>
          <w:sz w:val="20"/>
        </w:rPr>
        <w:t xml:space="preserve">Advertising cannot be sold or permitted in the educational activity area, such as banners during the </w:t>
      </w:r>
      <w:r w:rsidR="00954342" w:rsidRPr="00873B10">
        <w:rPr>
          <w:rFonts w:ascii="Calibri" w:hAnsi="Calibri"/>
          <w:sz w:val="20"/>
        </w:rPr>
        <w:t>activity</w:t>
      </w:r>
      <w:r w:rsidR="00596587" w:rsidRPr="00873B10">
        <w:rPr>
          <w:rFonts w:ascii="Calibri" w:hAnsi="Calibri"/>
          <w:sz w:val="20"/>
        </w:rPr>
        <w:t>, reception</w:t>
      </w:r>
      <w:r w:rsidR="008740CD" w:rsidRPr="00873B10">
        <w:rPr>
          <w:rFonts w:ascii="Calibri" w:hAnsi="Calibri"/>
          <w:sz w:val="20"/>
        </w:rPr>
        <w:t xml:space="preserve"> or at </w:t>
      </w:r>
      <w:r w:rsidR="00596587" w:rsidRPr="00873B10">
        <w:rPr>
          <w:rFonts w:ascii="Calibri" w:hAnsi="Calibri"/>
          <w:sz w:val="20"/>
        </w:rPr>
        <w:t xml:space="preserve">a CME </w:t>
      </w:r>
      <w:r w:rsidR="00954342" w:rsidRPr="00873B10">
        <w:rPr>
          <w:rFonts w:ascii="Calibri" w:hAnsi="Calibri"/>
          <w:sz w:val="20"/>
        </w:rPr>
        <w:t>activity</w:t>
      </w:r>
      <w:r w:rsidR="00596587" w:rsidRPr="00873B10">
        <w:rPr>
          <w:rFonts w:ascii="Calibri" w:hAnsi="Calibri"/>
          <w:sz w:val="20"/>
        </w:rPr>
        <w:t>’s poster session.</w:t>
      </w:r>
      <w:r w:rsidR="00846BF0" w:rsidRPr="00873B10">
        <w:rPr>
          <w:rFonts w:ascii="Calibri" w:hAnsi="Calibri"/>
          <w:sz w:val="20"/>
        </w:rPr>
        <w:t xml:space="preserve">  All advertising opportunities must be reviewed and approved by the Office of CME.</w:t>
      </w:r>
      <w:bookmarkEnd w:id="24"/>
      <w:bookmarkEnd w:id="25"/>
      <w:bookmarkEnd w:id="26"/>
    </w:p>
    <w:p w:rsidR="00085150" w:rsidRPr="00873B10" w:rsidRDefault="00085150" w:rsidP="006530D5">
      <w:pPr>
        <w:ind w:left="720"/>
        <w:rPr>
          <w:rFonts w:ascii="Calibri" w:hAnsi="Calibri"/>
          <w:sz w:val="20"/>
        </w:rPr>
      </w:pPr>
    </w:p>
    <w:p w:rsidR="003767F4" w:rsidRPr="00873B10" w:rsidRDefault="00000FDC" w:rsidP="00906527">
      <w:pPr>
        <w:pStyle w:val="Heading2"/>
        <w:rPr>
          <w:rFonts w:ascii="Calibri" w:hAnsi="Calibri"/>
          <w:sz w:val="20"/>
          <w:szCs w:val="20"/>
        </w:rPr>
      </w:pPr>
      <w:bookmarkStart w:id="27" w:name="_Toc148348345"/>
      <w:r w:rsidRPr="00873B10">
        <w:rPr>
          <w:rFonts w:ascii="Calibri" w:hAnsi="Calibri"/>
          <w:sz w:val="20"/>
          <w:szCs w:val="20"/>
        </w:rPr>
        <w:tab/>
      </w:r>
      <w:bookmarkStart w:id="28" w:name="_Toc401304629"/>
      <w:bookmarkStart w:id="29" w:name="_Toc489540648"/>
      <w:r w:rsidR="003767F4" w:rsidRPr="00873B10">
        <w:rPr>
          <w:rFonts w:ascii="Calibri" w:hAnsi="Calibri"/>
          <w:i w:val="0"/>
          <w:sz w:val="20"/>
          <w:szCs w:val="20"/>
          <w:u w:val="single"/>
        </w:rPr>
        <w:t>CME Certificates</w:t>
      </w:r>
      <w:bookmarkEnd w:id="27"/>
      <w:r w:rsidR="003767F4" w:rsidRPr="00873B10">
        <w:rPr>
          <w:rFonts w:ascii="Calibri" w:hAnsi="Calibri"/>
          <w:sz w:val="20"/>
          <w:szCs w:val="20"/>
        </w:rPr>
        <w:t>:</w:t>
      </w:r>
      <w:bookmarkEnd w:id="28"/>
      <w:bookmarkEnd w:id="29"/>
    </w:p>
    <w:p w:rsidR="003767F4" w:rsidRPr="00873B10" w:rsidRDefault="00000FDC" w:rsidP="00000FDC">
      <w:pPr>
        <w:pStyle w:val="BodyTextIndent"/>
        <w:tabs>
          <w:tab w:val="left" w:pos="720"/>
          <w:tab w:val="left" w:pos="1440"/>
          <w:tab w:val="left" w:pos="2160"/>
        </w:tabs>
        <w:ind w:right="720" w:hanging="720"/>
        <w:rPr>
          <w:rFonts w:ascii="Calibri" w:hAnsi="Calibri"/>
          <w:sz w:val="20"/>
          <w:szCs w:val="20"/>
        </w:rPr>
      </w:pPr>
      <w:r w:rsidRPr="00873B10">
        <w:rPr>
          <w:rFonts w:ascii="Calibri" w:hAnsi="Calibri"/>
          <w:sz w:val="20"/>
          <w:szCs w:val="20"/>
        </w:rPr>
        <w:tab/>
      </w:r>
      <w:r w:rsidR="003767F4" w:rsidRPr="00873B10">
        <w:rPr>
          <w:rFonts w:ascii="Calibri" w:hAnsi="Calibri"/>
          <w:sz w:val="20"/>
          <w:szCs w:val="20"/>
        </w:rPr>
        <w:t xml:space="preserve">The OCME is required by the AMA to: (1) document the number of credit hours the physicians participated in the CME activity, (2) maintain the attendance records for six years, and (3) provide a credit certificate that accurately reflects the number of credit hours the physician earned.   </w:t>
      </w:r>
    </w:p>
    <w:p w:rsidR="003767F4" w:rsidRPr="00873B10" w:rsidRDefault="003767F4" w:rsidP="003767F4">
      <w:pPr>
        <w:pStyle w:val="BodyTextIndent"/>
        <w:tabs>
          <w:tab w:val="left" w:pos="720"/>
          <w:tab w:val="left" w:pos="1440"/>
          <w:tab w:val="left" w:pos="2160"/>
        </w:tabs>
        <w:ind w:left="0" w:right="720"/>
        <w:rPr>
          <w:rFonts w:ascii="Calibri" w:hAnsi="Calibri"/>
          <w:sz w:val="20"/>
          <w:szCs w:val="20"/>
        </w:rPr>
      </w:pPr>
    </w:p>
    <w:p w:rsidR="003767F4" w:rsidRPr="00873B10" w:rsidRDefault="00000FDC" w:rsidP="00000FDC">
      <w:pPr>
        <w:pStyle w:val="BodyTextIndent"/>
        <w:tabs>
          <w:tab w:val="left" w:pos="720"/>
          <w:tab w:val="left" w:pos="1440"/>
          <w:tab w:val="left" w:pos="2160"/>
        </w:tabs>
        <w:ind w:right="720" w:hanging="720"/>
        <w:rPr>
          <w:rFonts w:ascii="Calibri" w:hAnsi="Calibri"/>
          <w:sz w:val="20"/>
          <w:szCs w:val="20"/>
        </w:rPr>
      </w:pPr>
      <w:r w:rsidRPr="00873B10">
        <w:rPr>
          <w:rFonts w:ascii="Calibri" w:hAnsi="Calibri"/>
          <w:sz w:val="20"/>
          <w:szCs w:val="20"/>
        </w:rPr>
        <w:tab/>
      </w:r>
      <w:r w:rsidR="004F7641">
        <w:rPr>
          <w:rFonts w:ascii="Calibri" w:hAnsi="Calibri"/>
          <w:sz w:val="20"/>
          <w:szCs w:val="20"/>
        </w:rPr>
        <w:t>Participants</w:t>
      </w:r>
      <w:r w:rsidR="00E15BBF">
        <w:rPr>
          <w:rFonts w:ascii="Calibri" w:hAnsi="Calibri"/>
          <w:sz w:val="20"/>
          <w:szCs w:val="20"/>
        </w:rPr>
        <w:t>’</w:t>
      </w:r>
      <w:r w:rsidR="004F7641">
        <w:rPr>
          <w:rFonts w:ascii="Calibri" w:hAnsi="Calibri"/>
          <w:sz w:val="20"/>
          <w:szCs w:val="20"/>
        </w:rPr>
        <w:t xml:space="preserve"> </w:t>
      </w:r>
      <w:r w:rsidR="00E15BBF">
        <w:rPr>
          <w:rFonts w:ascii="Calibri" w:hAnsi="Calibri"/>
          <w:sz w:val="20"/>
          <w:szCs w:val="20"/>
        </w:rPr>
        <w:t xml:space="preserve">certificates and transcripts will be available for them to download at </w:t>
      </w:r>
      <w:hyperlink r:id="rId10" w:history="1">
        <w:r w:rsidR="00E15BBF" w:rsidRPr="00034728">
          <w:rPr>
            <w:rStyle w:val="Hyperlink"/>
            <w:rFonts w:ascii="Calibri" w:hAnsi="Calibri"/>
            <w:sz w:val="20"/>
            <w:szCs w:val="20"/>
          </w:rPr>
          <w:t>www.cme.northwestern.edu</w:t>
        </w:r>
      </w:hyperlink>
      <w:r w:rsidR="00E15BBF">
        <w:rPr>
          <w:rFonts w:ascii="Calibri" w:hAnsi="Calibri"/>
          <w:sz w:val="20"/>
          <w:szCs w:val="20"/>
        </w:rPr>
        <w:t xml:space="preserve"> as soon as the Course Coordinator enters in attendance.  </w:t>
      </w:r>
      <w:r w:rsidR="009C3597" w:rsidRPr="00873B10">
        <w:rPr>
          <w:rFonts w:ascii="Calibri" w:hAnsi="Calibri"/>
          <w:sz w:val="20"/>
          <w:szCs w:val="20"/>
        </w:rPr>
        <w:t xml:space="preserve">Once the Office of CME has submitted its Annual ACCME Report (March of the subsequent year), the attendance data and credits issued cannot be altered. </w:t>
      </w:r>
    </w:p>
    <w:p w:rsidR="00E8116A" w:rsidRPr="00873B10" w:rsidRDefault="00E8116A" w:rsidP="00000FDC">
      <w:pPr>
        <w:pStyle w:val="BodyTextIndent"/>
        <w:tabs>
          <w:tab w:val="left" w:pos="720"/>
          <w:tab w:val="left" w:pos="1440"/>
          <w:tab w:val="left" w:pos="2160"/>
        </w:tabs>
        <w:ind w:right="720" w:hanging="720"/>
        <w:rPr>
          <w:rFonts w:ascii="Calibri" w:hAnsi="Calibri"/>
          <w:sz w:val="20"/>
          <w:szCs w:val="20"/>
        </w:rPr>
      </w:pPr>
    </w:p>
    <w:p w:rsidR="003767F4" w:rsidRPr="00873B10" w:rsidRDefault="00000FDC" w:rsidP="00000FDC">
      <w:pPr>
        <w:pStyle w:val="BodyTextIndent"/>
        <w:tabs>
          <w:tab w:val="left" w:pos="720"/>
          <w:tab w:val="left" w:pos="1440"/>
          <w:tab w:val="left" w:pos="2160"/>
        </w:tabs>
        <w:ind w:right="720" w:hanging="720"/>
        <w:rPr>
          <w:rFonts w:ascii="Calibri" w:hAnsi="Calibri"/>
          <w:sz w:val="20"/>
          <w:szCs w:val="20"/>
        </w:rPr>
      </w:pPr>
      <w:r w:rsidRPr="00873B10">
        <w:rPr>
          <w:rFonts w:ascii="Calibri" w:hAnsi="Calibri"/>
          <w:sz w:val="20"/>
          <w:szCs w:val="20"/>
        </w:rPr>
        <w:tab/>
      </w:r>
      <w:r w:rsidR="003767F4" w:rsidRPr="00873B10">
        <w:rPr>
          <w:rFonts w:ascii="Calibri" w:hAnsi="Calibri"/>
          <w:sz w:val="20"/>
          <w:szCs w:val="20"/>
        </w:rPr>
        <w:t>The sponsoring department is responsible for obtaining additional continuing education credits (such as nursing credits, AAFP, etc.) including the production and distribution of the CE certificates.</w:t>
      </w:r>
    </w:p>
    <w:p w:rsidR="003767F4" w:rsidRPr="00873B10" w:rsidRDefault="003767F4" w:rsidP="003767F4">
      <w:pPr>
        <w:pStyle w:val="BodyTextIndent"/>
        <w:tabs>
          <w:tab w:val="left" w:pos="720"/>
          <w:tab w:val="left" w:pos="1440"/>
          <w:tab w:val="left" w:pos="2160"/>
        </w:tabs>
        <w:ind w:left="0" w:right="720"/>
        <w:rPr>
          <w:rFonts w:ascii="Calibri" w:hAnsi="Calibri"/>
          <w:sz w:val="20"/>
          <w:szCs w:val="20"/>
        </w:rPr>
      </w:pPr>
    </w:p>
    <w:p w:rsidR="003767F4" w:rsidRPr="00873B10" w:rsidRDefault="00000FDC" w:rsidP="00906527">
      <w:pPr>
        <w:pStyle w:val="Heading2"/>
        <w:rPr>
          <w:rFonts w:ascii="Calibri" w:hAnsi="Calibri"/>
          <w:i w:val="0"/>
          <w:sz w:val="20"/>
          <w:szCs w:val="20"/>
          <w:u w:val="single"/>
        </w:rPr>
      </w:pPr>
      <w:r w:rsidRPr="00873B10">
        <w:rPr>
          <w:rFonts w:ascii="Calibri" w:hAnsi="Calibri"/>
          <w:sz w:val="20"/>
          <w:szCs w:val="20"/>
        </w:rPr>
        <w:tab/>
      </w:r>
      <w:bookmarkStart w:id="30" w:name="_Toc401304630"/>
      <w:bookmarkStart w:id="31" w:name="_Toc489540649"/>
      <w:r w:rsidR="003767F4" w:rsidRPr="00873B10">
        <w:rPr>
          <w:rFonts w:ascii="Calibri" w:hAnsi="Calibri"/>
          <w:i w:val="0"/>
          <w:sz w:val="20"/>
          <w:szCs w:val="20"/>
          <w:u w:val="single"/>
        </w:rPr>
        <w:t>Activity Postponement or Cancellation</w:t>
      </w:r>
      <w:r w:rsidR="00283F6A" w:rsidRPr="00873B10">
        <w:rPr>
          <w:rFonts w:ascii="Calibri" w:hAnsi="Calibri"/>
          <w:i w:val="0"/>
          <w:sz w:val="20"/>
          <w:szCs w:val="20"/>
          <w:u w:val="single"/>
        </w:rPr>
        <w:t>:</w:t>
      </w:r>
      <w:bookmarkEnd w:id="30"/>
      <w:bookmarkEnd w:id="31"/>
    </w:p>
    <w:p w:rsidR="003767F4" w:rsidRPr="00873B10" w:rsidRDefault="00000FDC" w:rsidP="00000FDC">
      <w:pPr>
        <w:tabs>
          <w:tab w:val="left" w:pos="720"/>
          <w:tab w:val="left" w:pos="1440"/>
          <w:tab w:val="left" w:pos="2160"/>
        </w:tabs>
        <w:ind w:left="720" w:right="720" w:hanging="720"/>
        <w:rPr>
          <w:rFonts w:ascii="Calibri" w:hAnsi="Calibri"/>
          <w:sz w:val="20"/>
          <w:szCs w:val="20"/>
        </w:rPr>
      </w:pPr>
      <w:r w:rsidRPr="00873B10">
        <w:rPr>
          <w:rFonts w:ascii="Calibri" w:hAnsi="Calibri"/>
          <w:sz w:val="20"/>
          <w:szCs w:val="20"/>
        </w:rPr>
        <w:tab/>
      </w:r>
      <w:r w:rsidR="003767F4" w:rsidRPr="00873B10">
        <w:rPr>
          <w:rFonts w:ascii="Calibri" w:hAnsi="Calibri"/>
          <w:sz w:val="20"/>
          <w:szCs w:val="20"/>
        </w:rPr>
        <w:t xml:space="preserve">If an educational activity is postponed and rescheduled within the same fiscal year in which the application was approved by the CME Review Committee, the activity will maintain its CME accreditation status with no additional fees.  If an activity is cancelled the CME fees will not be refunded to the sponsoring department, affiliate or </w:t>
      </w:r>
      <w:r w:rsidR="002B2E91" w:rsidRPr="00873B10">
        <w:rPr>
          <w:rFonts w:ascii="Calibri" w:hAnsi="Calibri"/>
          <w:sz w:val="20"/>
          <w:szCs w:val="20"/>
        </w:rPr>
        <w:t>co/joint provider</w:t>
      </w:r>
      <w:r w:rsidR="003767F4" w:rsidRPr="00873B10">
        <w:rPr>
          <w:rFonts w:ascii="Calibri" w:hAnsi="Calibri"/>
          <w:sz w:val="20"/>
          <w:szCs w:val="20"/>
        </w:rPr>
        <w:t xml:space="preserve">.  The postponement and/or cancellation must be made in writing to the </w:t>
      </w:r>
      <w:r w:rsidR="00A26855">
        <w:rPr>
          <w:rFonts w:ascii="Calibri" w:hAnsi="Calibri"/>
          <w:sz w:val="20"/>
          <w:szCs w:val="20"/>
        </w:rPr>
        <w:t>Manager</w:t>
      </w:r>
      <w:r w:rsidR="003767F4" w:rsidRPr="00873B10">
        <w:rPr>
          <w:rFonts w:ascii="Calibri" w:hAnsi="Calibri"/>
          <w:sz w:val="20"/>
          <w:szCs w:val="20"/>
        </w:rPr>
        <w:t xml:space="preserve"> of CME.</w:t>
      </w:r>
    </w:p>
    <w:p w:rsidR="003767F4" w:rsidRPr="00873B10" w:rsidRDefault="003767F4" w:rsidP="003767F4">
      <w:pPr>
        <w:tabs>
          <w:tab w:val="left" w:pos="720"/>
          <w:tab w:val="left" w:pos="1440"/>
          <w:tab w:val="left" w:pos="2160"/>
        </w:tabs>
        <w:ind w:right="720"/>
        <w:rPr>
          <w:rFonts w:ascii="Calibri" w:hAnsi="Calibri"/>
          <w:sz w:val="20"/>
          <w:szCs w:val="20"/>
        </w:rPr>
      </w:pPr>
    </w:p>
    <w:p w:rsidR="003767F4" w:rsidRPr="00873B10" w:rsidRDefault="00000FDC" w:rsidP="00906527">
      <w:pPr>
        <w:pStyle w:val="Heading2"/>
        <w:rPr>
          <w:rFonts w:ascii="Calibri" w:hAnsi="Calibri"/>
          <w:sz w:val="20"/>
          <w:szCs w:val="20"/>
        </w:rPr>
      </w:pPr>
      <w:bookmarkStart w:id="32" w:name="_Toc147032467"/>
      <w:r w:rsidRPr="00873B10">
        <w:rPr>
          <w:rFonts w:ascii="Calibri" w:hAnsi="Calibri"/>
          <w:sz w:val="20"/>
          <w:szCs w:val="20"/>
        </w:rPr>
        <w:tab/>
      </w:r>
      <w:bookmarkStart w:id="33" w:name="_Toc401304631"/>
      <w:bookmarkStart w:id="34" w:name="_Toc489540650"/>
      <w:r w:rsidR="003767F4" w:rsidRPr="00873B10">
        <w:rPr>
          <w:rFonts w:ascii="Calibri" w:hAnsi="Calibri"/>
          <w:i w:val="0"/>
          <w:sz w:val="20"/>
          <w:szCs w:val="20"/>
          <w:u w:val="single"/>
        </w:rPr>
        <w:t>Activities Not In Compliance with the ACCME, AMA or FSM Policies</w:t>
      </w:r>
      <w:bookmarkEnd w:id="32"/>
      <w:r w:rsidR="003767F4" w:rsidRPr="00873B10">
        <w:rPr>
          <w:rFonts w:ascii="Calibri" w:hAnsi="Calibri"/>
          <w:sz w:val="20"/>
          <w:szCs w:val="20"/>
        </w:rPr>
        <w:t>:</w:t>
      </w:r>
      <w:bookmarkEnd w:id="33"/>
      <w:bookmarkEnd w:id="34"/>
    </w:p>
    <w:p w:rsidR="003767F4" w:rsidRPr="00873B10" w:rsidRDefault="00000FDC" w:rsidP="00000FDC">
      <w:pPr>
        <w:pStyle w:val="BodyTextIndent"/>
        <w:tabs>
          <w:tab w:val="left" w:pos="720"/>
          <w:tab w:val="left" w:pos="1440"/>
          <w:tab w:val="left" w:pos="2160"/>
        </w:tabs>
        <w:ind w:right="720" w:hanging="720"/>
        <w:rPr>
          <w:rFonts w:ascii="Calibri" w:hAnsi="Calibri"/>
          <w:sz w:val="20"/>
          <w:szCs w:val="20"/>
        </w:rPr>
      </w:pPr>
      <w:r w:rsidRPr="00873B10">
        <w:rPr>
          <w:rFonts w:ascii="Calibri" w:hAnsi="Calibri"/>
          <w:sz w:val="20"/>
          <w:szCs w:val="20"/>
        </w:rPr>
        <w:tab/>
      </w:r>
      <w:r w:rsidR="003767F4" w:rsidRPr="00873B10">
        <w:rPr>
          <w:rFonts w:ascii="Calibri" w:hAnsi="Calibri"/>
          <w:sz w:val="20"/>
          <w:szCs w:val="20"/>
        </w:rPr>
        <w:t xml:space="preserve">It is the responsibility of the sponsoring department; affiliate or </w:t>
      </w:r>
      <w:r w:rsidR="002B2E91" w:rsidRPr="00873B10">
        <w:rPr>
          <w:rFonts w:ascii="Calibri" w:hAnsi="Calibri"/>
          <w:sz w:val="20"/>
          <w:szCs w:val="20"/>
        </w:rPr>
        <w:t>co/joint provider</w:t>
      </w:r>
      <w:r w:rsidR="003767F4" w:rsidRPr="00873B10">
        <w:rPr>
          <w:rFonts w:ascii="Calibri" w:hAnsi="Calibri"/>
          <w:sz w:val="20"/>
          <w:szCs w:val="20"/>
        </w:rPr>
        <w:t xml:space="preserve"> to communicate with the OCME throughout the activity’s planning process.  All activity materials (promotional, handout materials, etc.) must be reviewed and approved by the OCME prior to their distribution.  If the activity’s coordinator does not comply with the review process, a fine of $1000 will be issued to the sponsoring department, affiliate, and/or </w:t>
      </w:r>
      <w:r w:rsidR="002B2E91" w:rsidRPr="00873B10">
        <w:rPr>
          <w:rFonts w:ascii="Calibri" w:hAnsi="Calibri"/>
          <w:sz w:val="20"/>
          <w:szCs w:val="20"/>
        </w:rPr>
        <w:t>co/joint provider</w:t>
      </w:r>
      <w:r w:rsidR="003767F4" w:rsidRPr="00873B10">
        <w:rPr>
          <w:rFonts w:ascii="Calibri" w:hAnsi="Calibri"/>
          <w:sz w:val="20"/>
          <w:szCs w:val="20"/>
        </w:rPr>
        <w:t xml:space="preserve">.  The OCME will not distribute CME certificates to the participants until the CME Fees (including the fine) is received.  </w:t>
      </w:r>
    </w:p>
    <w:p w:rsidR="003767F4" w:rsidRPr="00873B10" w:rsidRDefault="003767F4" w:rsidP="003767F4">
      <w:pPr>
        <w:pStyle w:val="BodyTextIndent"/>
        <w:tabs>
          <w:tab w:val="left" w:pos="720"/>
          <w:tab w:val="left" w:pos="1440"/>
          <w:tab w:val="left" w:pos="2160"/>
        </w:tabs>
        <w:ind w:left="0" w:right="720"/>
        <w:rPr>
          <w:rFonts w:ascii="Calibri" w:hAnsi="Calibri"/>
          <w:sz w:val="20"/>
          <w:szCs w:val="20"/>
        </w:rPr>
      </w:pPr>
    </w:p>
    <w:p w:rsidR="003767F4" w:rsidRPr="00873B10" w:rsidRDefault="00000FDC" w:rsidP="00000FDC">
      <w:pPr>
        <w:pStyle w:val="BodyTextIndent"/>
        <w:tabs>
          <w:tab w:val="left" w:pos="720"/>
          <w:tab w:val="left" w:pos="1440"/>
          <w:tab w:val="left" w:pos="2160"/>
        </w:tabs>
        <w:ind w:right="720" w:hanging="720"/>
        <w:rPr>
          <w:rFonts w:ascii="Calibri" w:hAnsi="Calibri"/>
          <w:sz w:val="20"/>
          <w:szCs w:val="20"/>
        </w:rPr>
      </w:pPr>
      <w:r w:rsidRPr="00873B10">
        <w:rPr>
          <w:rFonts w:ascii="Calibri" w:hAnsi="Calibri"/>
          <w:b/>
          <w:sz w:val="20"/>
          <w:szCs w:val="20"/>
        </w:rPr>
        <w:tab/>
      </w:r>
      <w:r w:rsidR="003767F4" w:rsidRPr="00873B10">
        <w:rPr>
          <w:rFonts w:ascii="Calibri" w:hAnsi="Calibri"/>
          <w:b/>
          <w:sz w:val="20"/>
          <w:szCs w:val="20"/>
          <w:u w:val="single"/>
        </w:rPr>
        <w:t>CME CREDIT WILL BE WITHDRAWN</w:t>
      </w:r>
      <w:r w:rsidR="003767F4" w:rsidRPr="00873B10">
        <w:rPr>
          <w:rFonts w:ascii="Calibri" w:hAnsi="Calibri"/>
          <w:sz w:val="20"/>
          <w:szCs w:val="20"/>
        </w:rPr>
        <w:t xml:space="preserve"> if the activity is not in compliance with the ACCME Guidelines for Commercial Interest and Faculty Disc</w:t>
      </w:r>
      <w:r w:rsidR="009B3E01">
        <w:rPr>
          <w:rFonts w:ascii="Calibri" w:hAnsi="Calibri"/>
          <w:sz w:val="20"/>
          <w:szCs w:val="20"/>
        </w:rPr>
        <w:t xml:space="preserve">losure Policies.  In addition, the CME </w:t>
      </w:r>
      <w:r w:rsidR="009B3E01" w:rsidRPr="00873B10">
        <w:rPr>
          <w:rFonts w:ascii="Calibri" w:hAnsi="Calibri"/>
          <w:sz w:val="20"/>
          <w:szCs w:val="20"/>
        </w:rPr>
        <w:t xml:space="preserve">Medical </w:t>
      </w:r>
      <w:r w:rsidR="009B3E01">
        <w:rPr>
          <w:rFonts w:ascii="Calibri" w:hAnsi="Calibri"/>
          <w:sz w:val="20"/>
          <w:szCs w:val="20"/>
        </w:rPr>
        <w:t>Director</w:t>
      </w:r>
      <w:r w:rsidR="003767F4" w:rsidRPr="00873B10">
        <w:rPr>
          <w:rFonts w:ascii="Calibri" w:hAnsi="Calibri"/>
          <w:sz w:val="20"/>
          <w:szCs w:val="20"/>
        </w:rPr>
        <w:t xml:space="preserve"> will determine whether the sponsoring department, affiliate and/or </w:t>
      </w:r>
      <w:r w:rsidR="002B2E91" w:rsidRPr="00873B10">
        <w:rPr>
          <w:rFonts w:ascii="Calibri" w:hAnsi="Calibri"/>
          <w:sz w:val="20"/>
          <w:szCs w:val="20"/>
        </w:rPr>
        <w:t>co/joint provider</w:t>
      </w:r>
      <w:r w:rsidR="003767F4" w:rsidRPr="00873B10">
        <w:rPr>
          <w:rFonts w:ascii="Calibri" w:hAnsi="Calibri"/>
          <w:sz w:val="20"/>
          <w:szCs w:val="20"/>
        </w:rPr>
        <w:t xml:space="preserve"> </w:t>
      </w:r>
      <w:r w:rsidR="00AB6DB2" w:rsidRPr="00873B10">
        <w:rPr>
          <w:rFonts w:ascii="Calibri" w:hAnsi="Calibri"/>
          <w:sz w:val="20"/>
          <w:szCs w:val="20"/>
        </w:rPr>
        <w:t>are</w:t>
      </w:r>
      <w:r w:rsidR="003767F4" w:rsidRPr="00873B10">
        <w:rPr>
          <w:rFonts w:ascii="Calibri" w:hAnsi="Calibri"/>
          <w:sz w:val="20"/>
          <w:szCs w:val="20"/>
        </w:rPr>
        <w:t xml:space="preserve"> eligible for future accreditation.</w:t>
      </w:r>
    </w:p>
    <w:p w:rsidR="0052435A" w:rsidRPr="0092417F" w:rsidRDefault="0052435A" w:rsidP="00000FDC">
      <w:pPr>
        <w:pStyle w:val="BodyTextIndent"/>
        <w:tabs>
          <w:tab w:val="left" w:pos="720"/>
          <w:tab w:val="left" w:pos="1440"/>
          <w:tab w:val="left" w:pos="2160"/>
        </w:tabs>
        <w:ind w:right="720" w:hanging="720"/>
        <w:rPr>
          <w:rFonts w:asciiTheme="minorHAnsi" w:hAnsiTheme="minorHAnsi"/>
          <w:sz w:val="18"/>
          <w:szCs w:val="18"/>
        </w:rPr>
      </w:pPr>
    </w:p>
    <w:p w:rsidR="0052435A" w:rsidRPr="0092417F" w:rsidRDefault="0052435A" w:rsidP="00000FDC">
      <w:pPr>
        <w:pStyle w:val="BodyTextIndent"/>
        <w:tabs>
          <w:tab w:val="left" w:pos="720"/>
          <w:tab w:val="left" w:pos="1440"/>
          <w:tab w:val="left" w:pos="2160"/>
        </w:tabs>
        <w:ind w:right="720" w:hanging="720"/>
        <w:rPr>
          <w:rFonts w:asciiTheme="minorHAnsi" w:hAnsiTheme="minorHAnsi"/>
          <w:sz w:val="18"/>
          <w:szCs w:val="18"/>
        </w:rPr>
      </w:pPr>
      <w:r w:rsidRPr="0092417F">
        <w:rPr>
          <w:rFonts w:asciiTheme="minorHAnsi" w:hAnsiTheme="minorHAnsi"/>
          <w:sz w:val="18"/>
          <w:szCs w:val="18"/>
        </w:rPr>
        <w:tab/>
        <w:t>If the ACCME receives a compla</w:t>
      </w:r>
      <w:r w:rsidR="00C52CB7" w:rsidRPr="0092417F">
        <w:rPr>
          <w:rFonts w:asciiTheme="minorHAnsi" w:hAnsiTheme="minorHAnsi"/>
          <w:sz w:val="18"/>
          <w:szCs w:val="18"/>
        </w:rPr>
        <w:t>i</w:t>
      </w:r>
      <w:r w:rsidRPr="0092417F">
        <w:rPr>
          <w:rFonts w:asciiTheme="minorHAnsi" w:hAnsiTheme="minorHAnsi"/>
          <w:sz w:val="18"/>
          <w:szCs w:val="18"/>
        </w:rPr>
        <w:t xml:space="preserve">nt about an educational activity not coordinated by the Office of CME, the course director will be responsible </w:t>
      </w:r>
      <w:r w:rsidR="00C52CB7" w:rsidRPr="0092417F">
        <w:rPr>
          <w:rFonts w:asciiTheme="minorHAnsi" w:hAnsiTheme="minorHAnsi"/>
          <w:sz w:val="18"/>
          <w:szCs w:val="18"/>
        </w:rPr>
        <w:t xml:space="preserve">for responding </w:t>
      </w:r>
      <w:r w:rsidRPr="0092417F">
        <w:rPr>
          <w:rFonts w:asciiTheme="minorHAnsi" w:hAnsiTheme="minorHAnsi"/>
          <w:sz w:val="18"/>
          <w:szCs w:val="18"/>
        </w:rPr>
        <w:t xml:space="preserve">to the complaint according to the ACCME’s Procedure for Handling Complaints located at:  </w:t>
      </w:r>
      <w:hyperlink r:id="rId11" w:history="1">
        <w:r w:rsidR="0092417F" w:rsidRPr="0092417F">
          <w:rPr>
            <w:rStyle w:val="Hyperlink"/>
            <w:rFonts w:asciiTheme="minorHAnsi" w:hAnsiTheme="minorHAnsi" w:cs="Arial"/>
            <w:color w:val="auto"/>
            <w:sz w:val="18"/>
            <w:szCs w:val="18"/>
            <w:bdr w:val="none" w:sz="0" w:space="0" w:color="auto" w:frame="1"/>
            <w:shd w:val="clear" w:color="auto" w:fill="FFFFFF"/>
          </w:rPr>
          <w:t>90_ACCME Process for Handling Complaints Regarding ACCME Accredited Providers_20101221.pdf</w:t>
        </w:r>
      </w:hyperlink>
      <w:r w:rsidR="00AB6DB2" w:rsidRPr="0092417F">
        <w:rPr>
          <w:rFonts w:asciiTheme="minorHAnsi" w:hAnsiTheme="minorHAnsi"/>
          <w:sz w:val="18"/>
          <w:szCs w:val="18"/>
        </w:rPr>
        <w:t>,</w:t>
      </w:r>
      <w:r w:rsidRPr="0092417F">
        <w:rPr>
          <w:rFonts w:asciiTheme="minorHAnsi" w:hAnsiTheme="minorHAnsi"/>
          <w:sz w:val="18"/>
          <w:szCs w:val="18"/>
        </w:rPr>
        <w:t xml:space="preserve"> </w:t>
      </w:r>
      <w:r w:rsidR="00BA4C24" w:rsidRPr="0092417F">
        <w:rPr>
          <w:rFonts w:asciiTheme="minorHAnsi" w:hAnsiTheme="minorHAnsi"/>
          <w:sz w:val="18"/>
          <w:szCs w:val="18"/>
        </w:rPr>
        <w:t xml:space="preserve">and </w:t>
      </w:r>
      <w:r w:rsidRPr="0092417F">
        <w:rPr>
          <w:rFonts w:asciiTheme="minorHAnsi" w:hAnsiTheme="minorHAnsi"/>
          <w:sz w:val="18"/>
          <w:szCs w:val="18"/>
        </w:rPr>
        <w:t>any fee</w:t>
      </w:r>
      <w:r w:rsidR="00C52CB7" w:rsidRPr="0092417F">
        <w:rPr>
          <w:rFonts w:asciiTheme="minorHAnsi" w:hAnsiTheme="minorHAnsi"/>
          <w:sz w:val="18"/>
          <w:szCs w:val="18"/>
        </w:rPr>
        <w:t>s associated with the complaint.</w:t>
      </w:r>
    </w:p>
    <w:bookmarkEnd w:id="4"/>
    <w:p w:rsidR="0092532D" w:rsidRPr="00873B10" w:rsidRDefault="0092532D" w:rsidP="00A040F6">
      <w:pPr>
        <w:pStyle w:val="BodyTextIndent"/>
        <w:tabs>
          <w:tab w:val="left" w:pos="720"/>
          <w:tab w:val="left" w:pos="1440"/>
          <w:tab w:val="left" w:pos="2160"/>
        </w:tabs>
        <w:ind w:left="0" w:right="720"/>
        <w:rPr>
          <w:rFonts w:ascii="Calibri" w:hAnsi="Calibri"/>
          <w:b/>
          <w:sz w:val="20"/>
          <w:szCs w:val="20"/>
        </w:rPr>
      </w:pPr>
    </w:p>
    <w:sectPr w:rsidR="0092532D" w:rsidRPr="00873B10" w:rsidSect="005B17EE">
      <w:footerReference w:type="even" r:id="rId12"/>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84B" w:rsidRDefault="0096084B">
      <w:r>
        <w:separator/>
      </w:r>
    </w:p>
  </w:endnote>
  <w:endnote w:type="continuationSeparator" w:id="0">
    <w:p w:rsidR="0096084B" w:rsidRDefault="0096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altName w:val="Malgun Gothic"/>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84B" w:rsidRDefault="009608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084B" w:rsidRDefault="009608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84B" w:rsidRDefault="009608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0C05">
      <w:rPr>
        <w:rStyle w:val="PageNumber"/>
        <w:noProof/>
      </w:rPr>
      <w:t>1</w:t>
    </w:r>
    <w:r>
      <w:rPr>
        <w:rStyle w:val="PageNumber"/>
      </w:rPr>
      <w:fldChar w:fldCharType="end"/>
    </w:r>
  </w:p>
  <w:p w:rsidR="0096084B" w:rsidRPr="0021657F" w:rsidRDefault="0096084B" w:rsidP="0021657F">
    <w:pPr>
      <w:tabs>
        <w:tab w:val="left" w:pos="-720"/>
      </w:tabs>
      <w:suppressAutoHyphens/>
      <w:rPr>
        <w:rFonts w:ascii="Calibri" w:hAnsi="Calibri"/>
        <w:color w:val="A6A6A6" w:themeColor="background1" w:themeShade="A6"/>
        <w:sz w:val="16"/>
      </w:rPr>
    </w:pPr>
    <w:r>
      <w:rPr>
        <w:rFonts w:ascii="Calibri" w:hAnsi="Calibri"/>
        <w:color w:val="A6A6A6" w:themeColor="background1" w:themeShade="A6"/>
        <w:sz w:val="16"/>
      </w:rPr>
      <w:t>Revised 12</w:t>
    </w:r>
    <w:r w:rsidRPr="0021657F">
      <w:rPr>
        <w:rFonts w:ascii="Calibri" w:hAnsi="Calibri"/>
        <w:color w:val="A6A6A6" w:themeColor="background1" w:themeShade="A6"/>
        <w:sz w:val="16"/>
      </w:rPr>
      <w:t>/2016</w:t>
    </w:r>
  </w:p>
  <w:p w:rsidR="0096084B" w:rsidRDefault="009608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84B" w:rsidRDefault="0096084B">
      <w:r>
        <w:separator/>
      </w:r>
    </w:p>
  </w:footnote>
  <w:footnote w:type="continuationSeparator" w:id="0">
    <w:p w:rsidR="0096084B" w:rsidRDefault="00960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D7E14"/>
    <w:multiLevelType w:val="hybridMultilevel"/>
    <w:tmpl w:val="68F634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FE51F8"/>
    <w:multiLevelType w:val="hybridMultilevel"/>
    <w:tmpl w:val="D48A5F78"/>
    <w:lvl w:ilvl="0" w:tplc="0F160D2E">
      <w:start w:val="1"/>
      <w:numFmt w:val="decimal"/>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AD5CA2"/>
    <w:multiLevelType w:val="hybridMultilevel"/>
    <w:tmpl w:val="7F88FE84"/>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755EEE"/>
    <w:multiLevelType w:val="hybridMultilevel"/>
    <w:tmpl w:val="C20E17A4"/>
    <w:lvl w:ilvl="0" w:tplc="04090003">
      <w:start w:val="1"/>
      <w:numFmt w:val="bullet"/>
      <w:lvlText w:val="o"/>
      <w:lvlJc w:val="left"/>
      <w:pPr>
        <w:tabs>
          <w:tab w:val="num" w:pos="3240"/>
        </w:tabs>
        <w:ind w:left="3240" w:hanging="360"/>
      </w:pPr>
      <w:rPr>
        <w:rFonts w:ascii="Courier New" w:hAnsi="Courier New" w:cs="Courier New"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102C0CF2"/>
    <w:multiLevelType w:val="hybridMultilevel"/>
    <w:tmpl w:val="8C423A0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1F773CE"/>
    <w:multiLevelType w:val="hybridMultilevel"/>
    <w:tmpl w:val="C7408422"/>
    <w:lvl w:ilvl="0" w:tplc="2668AB0A">
      <w:start w:val="1"/>
      <w:numFmt w:val="decimal"/>
      <w:lvlText w:val="%1."/>
      <w:lvlJc w:val="left"/>
      <w:pPr>
        <w:tabs>
          <w:tab w:val="num" w:pos="720"/>
        </w:tabs>
        <w:ind w:left="720" w:hanging="360"/>
      </w:pPr>
      <w:rPr>
        <w:b w:val="0"/>
      </w:rPr>
    </w:lvl>
    <w:lvl w:ilvl="1" w:tplc="D650649C">
      <w:start w:val="1"/>
      <w:numFmt w:val="lowerLetter"/>
      <w:lvlText w:val="%2."/>
      <w:lvlJc w:val="left"/>
      <w:pPr>
        <w:tabs>
          <w:tab w:val="num" w:pos="1440"/>
        </w:tabs>
        <w:ind w:left="1440" w:hanging="360"/>
      </w:pPr>
      <w:rPr>
        <w:b w:val="0"/>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450C3A"/>
    <w:multiLevelType w:val="hybridMultilevel"/>
    <w:tmpl w:val="9FCCCA00"/>
    <w:lvl w:ilvl="0" w:tplc="A718F0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D47AD"/>
    <w:multiLevelType w:val="hybridMultilevel"/>
    <w:tmpl w:val="004A51D4"/>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15:restartNumberingAfterBreak="0">
    <w:nsid w:val="1B9F4E8A"/>
    <w:multiLevelType w:val="hybridMultilevel"/>
    <w:tmpl w:val="77509DB6"/>
    <w:lvl w:ilvl="0" w:tplc="A718F0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66E32"/>
    <w:multiLevelType w:val="hybridMultilevel"/>
    <w:tmpl w:val="A6C2E13C"/>
    <w:lvl w:ilvl="0" w:tplc="EDAED34C">
      <w:start w:val="1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7C1649"/>
    <w:multiLevelType w:val="hybridMultilevel"/>
    <w:tmpl w:val="38EC3854"/>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217655F1"/>
    <w:multiLevelType w:val="hybridMultilevel"/>
    <w:tmpl w:val="6A64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B4D50"/>
    <w:multiLevelType w:val="hybridMultilevel"/>
    <w:tmpl w:val="FF20348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A566644"/>
    <w:multiLevelType w:val="hybridMultilevel"/>
    <w:tmpl w:val="49103E96"/>
    <w:lvl w:ilvl="0" w:tplc="2668AB0A">
      <w:start w:val="1"/>
      <w:numFmt w:val="decimal"/>
      <w:lvlText w:val="%1."/>
      <w:lvlJc w:val="left"/>
      <w:pPr>
        <w:tabs>
          <w:tab w:val="num" w:pos="720"/>
        </w:tabs>
        <w:ind w:left="720" w:hanging="360"/>
      </w:pPr>
      <w:rPr>
        <w:b w:val="0"/>
      </w:rPr>
    </w:lvl>
    <w:lvl w:ilvl="1" w:tplc="D650649C">
      <w:start w:val="1"/>
      <w:numFmt w:val="lowerLetter"/>
      <w:lvlText w:val="%2."/>
      <w:lvlJc w:val="left"/>
      <w:pPr>
        <w:tabs>
          <w:tab w:val="num" w:pos="1440"/>
        </w:tabs>
        <w:ind w:left="1440" w:hanging="360"/>
      </w:pPr>
      <w:rPr>
        <w:b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27734A"/>
    <w:multiLevelType w:val="hybridMultilevel"/>
    <w:tmpl w:val="4768B92A"/>
    <w:lvl w:ilvl="0" w:tplc="084CB88C">
      <w:start w:val="763"/>
      <w:numFmt w:val="bullet"/>
      <w:lvlText w:val=""/>
      <w:lvlJc w:val="left"/>
      <w:pPr>
        <w:tabs>
          <w:tab w:val="num" w:pos="1080"/>
        </w:tabs>
        <w:ind w:left="1080" w:hanging="720"/>
      </w:pPr>
      <w:rPr>
        <w:rFonts w:ascii="Wingdings" w:eastAsia="Times New Roman" w:hAnsi="Wingdings" w:cs="Times New Roman"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75687B"/>
    <w:multiLevelType w:val="hybridMultilevel"/>
    <w:tmpl w:val="D8061F40"/>
    <w:lvl w:ilvl="0" w:tplc="A718F0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B5386"/>
    <w:multiLevelType w:val="hybridMultilevel"/>
    <w:tmpl w:val="E7BEFDD2"/>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15:restartNumberingAfterBreak="0">
    <w:nsid w:val="32A52C32"/>
    <w:multiLevelType w:val="hybridMultilevel"/>
    <w:tmpl w:val="30CC6892"/>
    <w:lvl w:ilvl="0" w:tplc="2668AB0A">
      <w:start w:val="1"/>
      <w:numFmt w:val="decimal"/>
      <w:lvlText w:val="%1."/>
      <w:lvlJc w:val="left"/>
      <w:pPr>
        <w:tabs>
          <w:tab w:val="num" w:pos="720"/>
        </w:tabs>
        <w:ind w:left="720" w:hanging="360"/>
      </w:pPr>
      <w:rPr>
        <w:b w:val="0"/>
      </w:rPr>
    </w:lvl>
    <w:lvl w:ilvl="1" w:tplc="D650649C">
      <w:start w:val="1"/>
      <w:numFmt w:val="lowerLetter"/>
      <w:lvlText w:val="%2."/>
      <w:lvlJc w:val="left"/>
      <w:pPr>
        <w:tabs>
          <w:tab w:val="num" w:pos="1440"/>
        </w:tabs>
        <w:ind w:left="1440" w:hanging="360"/>
      </w:pPr>
      <w:rPr>
        <w:b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9E627C"/>
    <w:multiLevelType w:val="hybridMultilevel"/>
    <w:tmpl w:val="0D7C9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1E4779"/>
    <w:multiLevelType w:val="hybridMultilevel"/>
    <w:tmpl w:val="7A404B6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2D6078"/>
    <w:multiLevelType w:val="hybridMultilevel"/>
    <w:tmpl w:val="74BCB2EC"/>
    <w:lvl w:ilvl="0" w:tplc="A718F0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B152F"/>
    <w:multiLevelType w:val="hybridMultilevel"/>
    <w:tmpl w:val="C382D7C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4250AE2"/>
    <w:multiLevelType w:val="hybridMultilevel"/>
    <w:tmpl w:val="76785F6E"/>
    <w:lvl w:ilvl="0" w:tplc="D650649C">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D65A8"/>
    <w:multiLevelType w:val="hybridMultilevel"/>
    <w:tmpl w:val="64B28AC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4" w15:restartNumberingAfterBreak="0">
    <w:nsid w:val="4517414A"/>
    <w:multiLevelType w:val="hybridMultilevel"/>
    <w:tmpl w:val="AC664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CC628E"/>
    <w:multiLevelType w:val="hybridMultilevel"/>
    <w:tmpl w:val="C72A22C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5E36B76"/>
    <w:multiLevelType w:val="hybridMultilevel"/>
    <w:tmpl w:val="B0427C9A"/>
    <w:lvl w:ilvl="0" w:tplc="A718F034">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5F34BDC"/>
    <w:multiLevelType w:val="hybridMultilevel"/>
    <w:tmpl w:val="EBE09616"/>
    <w:lvl w:ilvl="0" w:tplc="084CB88C">
      <w:start w:val="763"/>
      <w:numFmt w:val="bullet"/>
      <w:lvlText w:val=""/>
      <w:lvlJc w:val="left"/>
      <w:pPr>
        <w:ind w:left="1080" w:hanging="360"/>
      </w:pPr>
      <w:rPr>
        <w:rFonts w:ascii="Wingdings" w:eastAsia="Times New Roman" w:hAnsi="Wingdings"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8A65C64"/>
    <w:multiLevelType w:val="hybridMultilevel"/>
    <w:tmpl w:val="31341C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B875009"/>
    <w:multiLevelType w:val="hybridMultilevel"/>
    <w:tmpl w:val="1B6EA44C"/>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4CB86622"/>
    <w:multiLevelType w:val="hybridMultilevel"/>
    <w:tmpl w:val="C6123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D0F09AE"/>
    <w:multiLevelType w:val="hybridMultilevel"/>
    <w:tmpl w:val="FDB0C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E6A00EC"/>
    <w:multiLevelType w:val="hybridMultilevel"/>
    <w:tmpl w:val="F822E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813366"/>
    <w:multiLevelType w:val="hybridMultilevel"/>
    <w:tmpl w:val="D0609F76"/>
    <w:lvl w:ilvl="0" w:tplc="A718F034">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154123"/>
    <w:multiLevelType w:val="hybridMultilevel"/>
    <w:tmpl w:val="53962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836C63"/>
    <w:multiLevelType w:val="hybridMultilevel"/>
    <w:tmpl w:val="A9521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704FFD"/>
    <w:multiLevelType w:val="hybridMultilevel"/>
    <w:tmpl w:val="CAD274F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7" w15:restartNumberingAfterBreak="0">
    <w:nsid w:val="5FDD6CAA"/>
    <w:multiLevelType w:val="hybridMultilevel"/>
    <w:tmpl w:val="023AC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75B59F2"/>
    <w:multiLevelType w:val="hybridMultilevel"/>
    <w:tmpl w:val="BF2C6B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B3C3A2A"/>
    <w:multiLevelType w:val="hybridMultilevel"/>
    <w:tmpl w:val="3BBE5D7C"/>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0" w15:restartNumberingAfterBreak="0">
    <w:nsid w:val="6CC04AFA"/>
    <w:multiLevelType w:val="hybridMultilevel"/>
    <w:tmpl w:val="17C0807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E062F8B"/>
    <w:multiLevelType w:val="hybridMultilevel"/>
    <w:tmpl w:val="0C5680A6"/>
    <w:lvl w:ilvl="0" w:tplc="65AAC75E">
      <w:start w:val="1"/>
      <w:numFmt w:val="decimal"/>
      <w:lvlText w:val="%1."/>
      <w:lvlJc w:val="left"/>
      <w:pPr>
        <w:tabs>
          <w:tab w:val="num" w:pos="1800"/>
        </w:tabs>
        <w:ind w:left="1800" w:hanging="360"/>
      </w:pPr>
      <w:rPr>
        <w:rFonts w:ascii="Times New Roman" w:eastAsia="Calibri" w:hAnsi="Times New Roman" w:cs="Times New Roman"/>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6EBB40DB"/>
    <w:multiLevelType w:val="hybridMultilevel"/>
    <w:tmpl w:val="304AF85C"/>
    <w:lvl w:ilvl="0" w:tplc="6000576C">
      <w:start w:val="1"/>
      <w:numFmt w:val="lowerLetter"/>
      <w:lvlText w:val="%1."/>
      <w:lvlJc w:val="left"/>
      <w:pPr>
        <w:tabs>
          <w:tab w:val="num" w:pos="1800"/>
        </w:tabs>
        <w:ind w:left="1800" w:hanging="360"/>
      </w:pPr>
      <w:rPr>
        <w:rFonts w:cs="Times New Roman" w:hint="default"/>
      </w:rPr>
    </w:lvl>
    <w:lvl w:ilvl="1" w:tplc="04090011">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2D054FC"/>
    <w:multiLevelType w:val="hybridMultilevel"/>
    <w:tmpl w:val="828CC5A0"/>
    <w:lvl w:ilvl="0" w:tplc="04090001">
      <w:start w:val="1"/>
      <w:numFmt w:val="bullet"/>
      <w:lvlText w:val=""/>
      <w:lvlJc w:val="left"/>
      <w:pPr>
        <w:tabs>
          <w:tab w:val="num" w:pos="5400"/>
        </w:tabs>
        <w:ind w:left="54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44" w15:restartNumberingAfterBreak="0">
    <w:nsid w:val="73694A18"/>
    <w:multiLevelType w:val="hybridMultilevel"/>
    <w:tmpl w:val="BB28A79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7EF5704"/>
    <w:multiLevelType w:val="hybridMultilevel"/>
    <w:tmpl w:val="073A96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4A59EA"/>
    <w:multiLevelType w:val="hybridMultilevel"/>
    <w:tmpl w:val="4D6A5A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FC4DB3"/>
    <w:multiLevelType w:val="hybridMultilevel"/>
    <w:tmpl w:val="3BC8D55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9"/>
  </w:num>
  <w:num w:numId="3">
    <w:abstractNumId w:val="28"/>
  </w:num>
  <w:num w:numId="4">
    <w:abstractNumId w:val="19"/>
  </w:num>
  <w:num w:numId="5">
    <w:abstractNumId w:val="40"/>
  </w:num>
  <w:num w:numId="6">
    <w:abstractNumId w:val="46"/>
  </w:num>
  <w:num w:numId="7">
    <w:abstractNumId w:val="43"/>
  </w:num>
  <w:num w:numId="8">
    <w:abstractNumId w:val="12"/>
  </w:num>
  <w:num w:numId="9">
    <w:abstractNumId w:val="2"/>
  </w:num>
  <w:num w:numId="10">
    <w:abstractNumId w:val="42"/>
  </w:num>
  <w:num w:numId="11">
    <w:abstractNumId w:val="4"/>
  </w:num>
  <w:num w:numId="12">
    <w:abstractNumId w:val="29"/>
  </w:num>
  <w:num w:numId="13">
    <w:abstractNumId w:val="45"/>
  </w:num>
  <w:num w:numId="14">
    <w:abstractNumId w:val="10"/>
  </w:num>
  <w:num w:numId="15">
    <w:abstractNumId w:val="3"/>
  </w:num>
  <w:num w:numId="16">
    <w:abstractNumId w:val="39"/>
  </w:num>
  <w:num w:numId="17">
    <w:abstractNumId w:val="44"/>
  </w:num>
  <w:num w:numId="18">
    <w:abstractNumId w:val="31"/>
  </w:num>
  <w:num w:numId="19">
    <w:abstractNumId w:val="37"/>
  </w:num>
  <w:num w:numId="20">
    <w:abstractNumId w:val="30"/>
  </w:num>
  <w:num w:numId="21">
    <w:abstractNumId w:val="1"/>
  </w:num>
  <w:num w:numId="22">
    <w:abstractNumId w:val="21"/>
  </w:num>
  <w:num w:numId="23">
    <w:abstractNumId w:val="0"/>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4"/>
  </w:num>
  <w:num w:numId="27">
    <w:abstractNumId w:val="17"/>
  </w:num>
  <w:num w:numId="28">
    <w:abstractNumId w:val="32"/>
  </w:num>
  <w:num w:numId="29">
    <w:abstractNumId w:val="5"/>
  </w:num>
  <w:num w:numId="30">
    <w:abstractNumId w:val="41"/>
  </w:num>
  <w:num w:numId="31">
    <w:abstractNumId w:val="25"/>
  </w:num>
  <w:num w:numId="32">
    <w:abstractNumId w:val="38"/>
  </w:num>
  <w:num w:numId="33">
    <w:abstractNumId w:val="47"/>
  </w:num>
  <w:num w:numId="34">
    <w:abstractNumId w:val="16"/>
  </w:num>
  <w:num w:numId="35">
    <w:abstractNumId w:val="7"/>
  </w:num>
  <w:num w:numId="36">
    <w:abstractNumId w:val="23"/>
  </w:num>
  <w:num w:numId="37">
    <w:abstractNumId w:val="34"/>
  </w:num>
  <w:num w:numId="38">
    <w:abstractNumId w:val="35"/>
  </w:num>
  <w:num w:numId="39">
    <w:abstractNumId w:val="18"/>
  </w:num>
  <w:num w:numId="40">
    <w:abstractNumId w:val="20"/>
  </w:num>
  <w:num w:numId="41">
    <w:abstractNumId w:val="33"/>
  </w:num>
  <w:num w:numId="42">
    <w:abstractNumId w:val="15"/>
  </w:num>
  <w:num w:numId="43">
    <w:abstractNumId w:val="6"/>
  </w:num>
  <w:num w:numId="44">
    <w:abstractNumId w:val="8"/>
  </w:num>
  <w:num w:numId="45">
    <w:abstractNumId w:val="27"/>
  </w:num>
  <w:num w:numId="46">
    <w:abstractNumId w:val="26"/>
  </w:num>
  <w:num w:numId="47">
    <w:abstractNumId w:val="22"/>
  </w:num>
  <w:num w:numId="4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99"/>
    <w:rsid w:val="00000CBC"/>
    <w:rsid w:val="00000FDC"/>
    <w:rsid w:val="000012A6"/>
    <w:rsid w:val="00001AB9"/>
    <w:rsid w:val="00002353"/>
    <w:rsid w:val="000074BA"/>
    <w:rsid w:val="000112FA"/>
    <w:rsid w:val="00011A8B"/>
    <w:rsid w:val="0001217B"/>
    <w:rsid w:val="0001327A"/>
    <w:rsid w:val="00016A02"/>
    <w:rsid w:val="00017C8C"/>
    <w:rsid w:val="00017E98"/>
    <w:rsid w:val="000206E1"/>
    <w:rsid w:val="00031121"/>
    <w:rsid w:val="00032805"/>
    <w:rsid w:val="00033DFD"/>
    <w:rsid w:val="00033E91"/>
    <w:rsid w:val="0003414A"/>
    <w:rsid w:val="00034A8F"/>
    <w:rsid w:val="00035CF1"/>
    <w:rsid w:val="00036824"/>
    <w:rsid w:val="00037135"/>
    <w:rsid w:val="000404B8"/>
    <w:rsid w:val="000414A3"/>
    <w:rsid w:val="00041EB2"/>
    <w:rsid w:val="000438FB"/>
    <w:rsid w:val="00043983"/>
    <w:rsid w:val="00047A88"/>
    <w:rsid w:val="00056231"/>
    <w:rsid w:val="00057C4F"/>
    <w:rsid w:val="0006339B"/>
    <w:rsid w:val="00071177"/>
    <w:rsid w:val="000712E2"/>
    <w:rsid w:val="0007415F"/>
    <w:rsid w:val="000754E9"/>
    <w:rsid w:val="00075B67"/>
    <w:rsid w:val="000763F1"/>
    <w:rsid w:val="00085150"/>
    <w:rsid w:val="0008632E"/>
    <w:rsid w:val="00086FC5"/>
    <w:rsid w:val="000902B8"/>
    <w:rsid w:val="0009252B"/>
    <w:rsid w:val="000965E7"/>
    <w:rsid w:val="000A4A1F"/>
    <w:rsid w:val="000A56D9"/>
    <w:rsid w:val="000B1373"/>
    <w:rsid w:val="000B4072"/>
    <w:rsid w:val="000B773E"/>
    <w:rsid w:val="000D2080"/>
    <w:rsid w:val="000D276B"/>
    <w:rsid w:val="000D41DD"/>
    <w:rsid w:val="000E14B9"/>
    <w:rsid w:val="000E3159"/>
    <w:rsid w:val="000F285E"/>
    <w:rsid w:val="00105864"/>
    <w:rsid w:val="001074C3"/>
    <w:rsid w:val="00111366"/>
    <w:rsid w:val="001126AE"/>
    <w:rsid w:val="00114BF8"/>
    <w:rsid w:val="0011584D"/>
    <w:rsid w:val="0012030C"/>
    <w:rsid w:val="00123750"/>
    <w:rsid w:val="0012590D"/>
    <w:rsid w:val="001277CD"/>
    <w:rsid w:val="00130F0E"/>
    <w:rsid w:val="00132119"/>
    <w:rsid w:val="0013231E"/>
    <w:rsid w:val="0013446F"/>
    <w:rsid w:val="00144836"/>
    <w:rsid w:val="00145074"/>
    <w:rsid w:val="0014563B"/>
    <w:rsid w:val="0015412F"/>
    <w:rsid w:val="00154CBF"/>
    <w:rsid w:val="00155AD5"/>
    <w:rsid w:val="00156FF8"/>
    <w:rsid w:val="00161EDE"/>
    <w:rsid w:val="00165E23"/>
    <w:rsid w:val="001925B7"/>
    <w:rsid w:val="001A13C5"/>
    <w:rsid w:val="001A1761"/>
    <w:rsid w:val="001A4715"/>
    <w:rsid w:val="001A501A"/>
    <w:rsid w:val="001A69B6"/>
    <w:rsid w:val="001B2CF2"/>
    <w:rsid w:val="001B3444"/>
    <w:rsid w:val="001B4CE7"/>
    <w:rsid w:val="001C4115"/>
    <w:rsid w:val="001C5577"/>
    <w:rsid w:val="001D0367"/>
    <w:rsid w:val="001D1E65"/>
    <w:rsid w:val="001D46E0"/>
    <w:rsid w:val="001D58E5"/>
    <w:rsid w:val="001D5D35"/>
    <w:rsid w:val="001E065E"/>
    <w:rsid w:val="001F5E45"/>
    <w:rsid w:val="001F7AAD"/>
    <w:rsid w:val="002000C6"/>
    <w:rsid w:val="002011D9"/>
    <w:rsid w:val="002063BE"/>
    <w:rsid w:val="0020787A"/>
    <w:rsid w:val="00214970"/>
    <w:rsid w:val="00215A22"/>
    <w:rsid w:val="0021657F"/>
    <w:rsid w:val="002310D1"/>
    <w:rsid w:val="002349FC"/>
    <w:rsid w:val="0024514E"/>
    <w:rsid w:val="0024710C"/>
    <w:rsid w:val="00247C49"/>
    <w:rsid w:val="002504A0"/>
    <w:rsid w:val="00250E3D"/>
    <w:rsid w:val="00253388"/>
    <w:rsid w:val="00253E80"/>
    <w:rsid w:val="00257E32"/>
    <w:rsid w:val="00261E8B"/>
    <w:rsid w:val="00280157"/>
    <w:rsid w:val="00282CA1"/>
    <w:rsid w:val="00283DB3"/>
    <w:rsid w:val="00283F6A"/>
    <w:rsid w:val="002863FB"/>
    <w:rsid w:val="00291314"/>
    <w:rsid w:val="00296BDF"/>
    <w:rsid w:val="002A0E88"/>
    <w:rsid w:val="002A50C0"/>
    <w:rsid w:val="002A7F77"/>
    <w:rsid w:val="002B2E91"/>
    <w:rsid w:val="002B71AD"/>
    <w:rsid w:val="002C2E73"/>
    <w:rsid w:val="002C36C5"/>
    <w:rsid w:val="002C6FB9"/>
    <w:rsid w:val="002C7AC9"/>
    <w:rsid w:val="002D1D77"/>
    <w:rsid w:val="002D242E"/>
    <w:rsid w:val="002D2894"/>
    <w:rsid w:val="002D3927"/>
    <w:rsid w:val="002D3D09"/>
    <w:rsid w:val="002E161D"/>
    <w:rsid w:val="002E385B"/>
    <w:rsid w:val="002E61C4"/>
    <w:rsid w:val="002F4D60"/>
    <w:rsid w:val="002F57ED"/>
    <w:rsid w:val="002F7E3D"/>
    <w:rsid w:val="00300591"/>
    <w:rsid w:val="00300CF5"/>
    <w:rsid w:val="003054C0"/>
    <w:rsid w:val="0030703A"/>
    <w:rsid w:val="00313EDE"/>
    <w:rsid w:val="00316E41"/>
    <w:rsid w:val="0031746E"/>
    <w:rsid w:val="00320BE1"/>
    <w:rsid w:val="003240C8"/>
    <w:rsid w:val="0033137C"/>
    <w:rsid w:val="003357B3"/>
    <w:rsid w:val="00337865"/>
    <w:rsid w:val="00337E20"/>
    <w:rsid w:val="00340136"/>
    <w:rsid w:val="003409E3"/>
    <w:rsid w:val="00343888"/>
    <w:rsid w:val="00351673"/>
    <w:rsid w:val="003578D2"/>
    <w:rsid w:val="003737A6"/>
    <w:rsid w:val="003767F4"/>
    <w:rsid w:val="00377339"/>
    <w:rsid w:val="0039072E"/>
    <w:rsid w:val="003954B7"/>
    <w:rsid w:val="00396836"/>
    <w:rsid w:val="003A36C7"/>
    <w:rsid w:val="003A38DD"/>
    <w:rsid w:val="003B0D27"/>
    <w:rsid w:val="003B1DF3"/>
    <w:rsid w:val="003B4AAC"/>
    <w:rsid w:val="003B5E75"/>
    <w:rsid w:val="003C7058"/>
    <w:rsid w:val="003D1F5C"/>
    <w:rsid w:val="003D3102"/>
    <w:rsid w:val="003D542C"/>
    <w:rsid w:val="003D7EAD"/>
    <w:rsid w:val="003E2D2D"/>
    <w:rsid w:val="003E3ABE"/>
    <w:rsid w:val="003E3C5E"/>
    <w:rsid w:val="003E6230"/>
    <w:rsid w:val="003E6793"/>
    <w:rsid w:val="003E70AD"/>
    <w:rsid w:val="003E73A5"/>
    <w:rsid w:val="003F0F32"/>
    <w:rsid w:val="003F68E7"/>
    <w:rsid w:val="004012BB"/>
    <w:rsid w:val="0040368A"/>
    <w:rsid w:val="0040779B"/>
    <w:rsid w:val="0041318B"/>
    <w:rsid w:val="00413674"/>
    <w:rsid w:val="004207EB"/>
    <w:rsid w:val="00421480"/>
    <w:rsid w:val="00425957"/>
    <w:rsid w:val="00427428"/>
    <w:rsid w:val="0043318F"/>
    <w:rsid w:val="004345C9"/>
    <w:rsid w:val="0043477E"/>
    <w:rsid w:val="00436681"/>
    <w:rsid w:val="00436685"/>
    <w:rsid w:val="00436F9C"/>
    <w:rsid w:val="004370CD"/>
    <w:rsid w:val="00437B9A"/>
    <w:rsid w:val="00440606"/>
    <w:rsid w:val="00441D49"/>
    <w:rsid w:val="00446109"/>
    <w:rsid w:val="004513AC"/>
    <w:rsid w:val="00453B69"/>
    <w:rsid w:val="00455AE9"/>
    <w:rsid w:val="0046064F"/>
    <w:rsid w:val="00467D06"/>
    <w:rsid w:val="00475717"/>
    <w:rsid w:val="00477F50"/>
    <w:rsid w:val="00481103"/>
    <w:rsid w:val="00482031"/>
    <w:rsid w:val="004842C2"/>
    <w:rsid w:val="00492023"/>
    <w:rsid w:val="00493BB0"/>
    <w:rsid w:val="0049414C"/>
    <w:rsid w:val="0049561B"/>
    <w:rsid w:val="004A2E6A"/>
    <w:rsid w:val="004A3A66"/>
    <w:rsid w:val="004A3EE8"/>
    <w:rsid w:val="004A5D72"/>
    <w:rsid w:val="004B1D19"/>
    <w:rsid w:val="004B2C89"/>
    <w:rsid w:val="004C2FF5"/>
    <w:rsid w:val="004D1B04"/>
    <w:rsid w:val="004D4D7D"/>
    <w:rsid w:val="004E1621"/>
    <w:rsid w:val="004E574A"/>
    <w:rsid w:val="004E5DD6"/>
    <w:rsid w:val="004E7E07"/>
    <w:rsid w:val="004F7641"/>
    <w:rsid w:val="004F775A"/>
    <w:rsid w:val="00502479"/>
    <w:rsid w:val="005066E7"/>
    <w:rsid w:val="00512050"/>
    <w:rsid w:val="00512580"/>
    <w:rsid w:val="005147FF"/>
    <w:rsid w:val="00521B2C"/>
    <w:rsid w:val="0052435A"/>
    <w:rsid w:val="0052574B"/>
    <w:rsid w:val="00531B7C"/>
    <w:rsid w:val="005320EA"/>
    <w:rsid w:val="0053286D"/>
    <w:rsid w:val="005419E4"/>
    <w:rsid w:val="00541A2A"/>
    <w:rsid w:val="00542ECE"/>
    <w:rsid w:val="00544B53"/>
    <w:rsid w:val="005471DC"/>
    <w:rsid w:val="0055203D"/>
    <w:rsid w:val="005523D2"/>
    <w:rsid w:val="00555668"/>
    <w:rsid w:val="00555CB1"/>
    <w:rsid w:val="00555EE7"/>
    <w:rsid w:val="0055693A"/>
    <w:rsid w:val="00556FBF"/>
    <w:rsid w:val="00557784"/>
    <w:rsid w:val="005624B5"/>
    <w:rsid w:val="005647B7"/>
    <w:rsid w:val="00564BAD"/>
    <w:rsid w:val="00565EA1"/>
    <w:rsid w:val="00567C54"/>
    <w:rsid w:val="00572006"/>
    <w:rsid w:val="0057580C"/>
    <w:rsid w:val="0057788F"/>
    <w:rsid w:val="0058655E"/>
    <w:rsid w:val="00594454"/>
    <w:rsid w:val="00596587"/>
    <w:rsid w:val="0059709B"/>
    <w:rsid w:val="005A010A"/>
    <w:rsid w:val="005B17EE"/>
    <w:rsid w:val="005B2338"/>
    <w:rsid w:val="005B3174"/>
    <w:rsid w:val="005B4026"/>
    <w:rsid w:val="005B6AFE"/>
    <w:rsid w:val="005C2D7B"/>
    <w:rsid w:val="005C4DD8"/>
    <w:rsid w:val="005C665C"/>
    <w:rsid w:val="005C68D2"/>
    <w:rsid w:val="005D097A"/>
    <w:rsid w:val="005D0F83"/>
    <w:rsid w:val="005D1B12"/>
    <w:rsid w:val="005D435F"/>
    <w:rsid w:val="005E33A6"/>
    <w:rsid w:val="005E4A22"/>
    <w:rsid w:val="005E6635"/>
    <w:rsid w:val="005E781B"/>
    <w:rsid w:val="005F3379"/>
    <w:rsid w:val="005F4354"/>
    <w:rsid w:val="005F4A3D"/>
    <w:rsid w:val="00602E90"/>
    <w:rsid w:val="0060427A"/>
    <w:rsid w:val="006064CC"/>
    <w:rsid w:val="00607F2F"/>
    <w:rsid w:val="006101EF"/>
    <w:rsid w:val="00610422"/>
    <w:rsid w:val="00624407"/>
    <w:rsid w:val="006342E9"/>
    <w:rsid w:val="00640725"/>
    <w:rsid w:val="00643226"/>
    <w:rsid w:val="00647726"/>
    <w:rsid w:val="006528C7"/>
    <w:rsid w:val="006530D5"/>
    <w:rsid w:val="00654BBB"/>
    <w:rsid w:val="006556F3"/>
    <w:rsid w:val="006609D5"/>
    <w:rsid w:val="006637FE"/>
    <w:rsid w:val="0066627A"/>
    <w:rsid w:val="00666DED"/>
    <w:rsid w:val="0066782D"/>
    <w:rsid w:val="00671AAB"/>
    <w:rsid w:val="006741F3"/>
    <w:rsid w:val="00676A07"/>
    <w:rsid w:val="006868C6"/>
    <w:rsid w:val="00686BF7"/>
    <w:rsid w:val="006928EE"/>
    <w:rsid w:val="00694282"/>
    <w:rsid w:val="00696FA4"/>
    <w:rsid w:val="006A2851"/>
    <w:rsid w:val="006A4AA6"/>
    <w:rsid w:val="006A4E5E"/>
    <w:rsid w:val="006A6E25"/>
    <w:rsid w:val="006B4CCF"/>
    <w:rsid w:val="006B6C43"/>
    <w:rsid w:val="006B7128"/>
    <w:rsid w:val="006B7AE8"/>
    <w:rsid w:val="006C1FF0"/>
    <w:rsid w:val="006D045A"/>
    <w:rsid w:val="006D118A"/>
    <w:rsid w:val="006D21DE"/>
    <w:rsid w:val="006D2525"/>
    <w:rsid w:val="006D53D1"/>
    <w:rsid w:val="006D6766"/>
    <w:rsid w:val="006D6B67"/>
    <w:rsid w:val="006E6161"/>
    <w:rsid w:val="006E6418"/>
    <w:rsid w:val="006E78E3"/>
    <w:rsid w:val="006E7F12"/>
    <w:rsid w:val="006F06D9"/>
    <w:rsid w:val="006F16E9"/>
    <w:rsid w:val="006F247A"/>
    <w:rsid w:val="007000A0"/>
    <w:rsid w:val="007063C0"/>
    <w:rsid w:val="00714FE0"/>
    <w:rsid w:val="007278DB"/>
    <w:rsid w:val="007322AB"/>
    <w:rsid w:val="00732A48"/>
    <w:rsid w:val="00733FED"/>
    <w:rsid w:val="0073520F"/>
    <w:rsid w:val="007358B2"/>
    <w:rsid w:val="0074033F"/>
    <w:rsid w:val="007419E7"/>
    <w:rsid w:val="007450DD"/>
    <w:rsid w:val="007470A5"/>
    <w:rsid w:val="007509E9"/>
    <w:rsid w:val="00752F84"/>
    <w:rsid w:val="007561EC"/>
    <w:rsid w:val="00761B51"/>
    <w:rsid w:val="00762C89"/>
    <w:rsid w:val="00764414"/>
    <w:rsid w:val="00766073"/>
    <w:rsid w:val="007711BF"/>
    <w:rsid w:val="00772384"/>
    <w:rsid w:val="007726B9"/>
    <w:rsid w:val="00773D7E"/>
    <w:rsid w:val="00774AE9"/>
    <w:rsid w:val="00783837"/>
    <w:rsid w:val="00784E9F"/>
    <w:rsid w:val="00785A1D"/>
    <w:rsid w:val="007863CD"/>
    <w:rsid w:val="00787805"/>
    <w:rsid w:val="00792A00"/>
    <w:rsid w:val="007959D1"/>
    <w:rsid w:val="007A1EF8"/>
    <w:rsid w:val="007A3E62"/>
    <w:rsid w:val="007A5091"/>
    <w:rsid w:val="007A53BC"/>
    <w:rsid w:val="007B19DE"/>
    <w:rsid w:val="007C3067"/>
    <w:rsid w:val="007C317B"/>
    <w:rsid w:val="007C32C5"/>
    <w:rsid w:val="007C5AD6"/>
    <w:rsid w:val="007D2B7A"/>
    <w:rsid w:val="007D4138"/>
    <w:rsid w:val="007E026E"/>
    <w:rsid w:val="007E07FA"/>
    <w:rsid w:val="007E22F1"/>
    <w:rsid w:val="007E38D4"/>
    <w:rsid w:val="007E3B76"/>
    <w:rsid w:val="007F012D"/>
    <w:rsid w:val="007F778E"/>
    <w:rsid w:val="008031D2"/>
    <w:rsid w:val="0080326B"/>
    <w:rsid w:val="00803697"/>
    <w:rsid w:val="008049EE"/>
    <w:rsid w:val="00804E31"/>
    <w:rsid w:val="00813A58"/>
    <w:rsid w:val="00813DEE"/>
    <w:rsid w:val="00815640"/>
    <w:rsid w:val="0081583A"/>
    <w:rsid w:val="00815A38"/>
    <w:rsid w:val="00825F36"/>
    <w:rsid w:val="00826759"/>
    <w:rsid w:val="00826D05"/>
    <w:rsid w:val="00827872"/>
    <w:rsid w:val="00827C48"/>
    <w:rsid w:val="00830717"/>
    <w:rsid w:val="008318D1"/>
    <w:rsid w:val="008329D2"/>
    <w:rsid w:val="00836460"/>
    <w:rsid w:val="008375DF"/>
    <w:rsid w:val="00841CE5"/>
    <w:rsid w:val="008426DA"/>
    <w:rsid w:val="008439FA"/>
    <w:rsid w:val="00846BF0"/>
    <w:rsid w:val="008505BC"/>
    <w:rsid w:val="00855570"/>
    <w:rsid w:val="008653E8"/>
    <w:rsid w:val="00871AFD"/>
    <w:rsid w:val="0087327F"/>
    <w:rsid w:val="00873888"/>
    <w:rsid w:val="00873B10"/>
    <w:rsid w:val="008740CD"/>
    <w:rsid w:val="00880809"/>
    <w:rsid w:val="00885287"/>
    <w:rsid w:val="00885D40"/>
    <w:rsid w:val="008A1C99"/>
    <w:rsid w:val="008A2907"/>
    <w:rsid w:val="008A681A"/>
    <w:rsid w:val="008B059B"/>
    <w:rsid w:val="008B0C83"/>
    <w:rsid w:val="008B2BCF"/>
    <w:rsid w:val="008B3B6C"/>
    <w:rsid w:val="008B4429"/>
    <w:rsid w:val="008B5E78"/>
    <w:rsid w:val="008C6A2B"/>
    <w:rsid w:val="008C7D8A"/>
    <w:rsid w:val="008D707D"/>
    <w:rsid w:val="008D75A6"/>
    <w:rsid w:val="008E06FC"/>
    <w:rsid w:val="008E076A"/>
    <w:rsid w:val="008E298C"/>
    <w:rsid w:val="008E40FF"/>
    <w:rsid w:val="008F0D41"/>
    <w:rsid w:val="008F272E"/>
    <w:rsid w:val="008F3E3F"/>
    <w:rsid w:val="008F48F8"/>
    <w:rsid w:val="008F4F03"/>
    <w:rsid w:val="008F4F44"/>
    <w:rsid w:val="00906527"/>
    <w:rsid w:val="009126E7"/>
    <w:rsid w:val="0091348E"/>
    <w:rsid w:val="00915002"/>
    <w:rsid w:val="00915C38"/>
    <w:rsid w:val="00923244"/>
    <w:rsid w:val="009235F9"/>
    <w:rsid w:val="0092417F"/>
    <w:rsid w:val="0092475F"/>
    <w:rsid w:val="0092532D"/>
    <w:rsid w:val="009264B2"/>
    <w:rsid w:val="00926D70"/>
    <w:rsid w:val="0093256E"/>
    <w:rsid w:val="00935E6D"/>
    <w:rsid w:val="00941BA3"/>
    <w:rsid w:val="00943B2A"/>
    <w:rsid w:val="00943DDE"/>
    <w:rsid w:val="00945AAF"/>
    <w:rsid w:val="009469A1"/>
    <w:rsid w:val="00954342"/>
    <w:rsid w:val="00956760"/>
    <w:rsid w:val="00956B63"/>
    <w:rsid w:val="0096084B"/>
    <w:rsid w:val="009622A8"/>
    <w:rsid w:val="00964E22"/>
    <w:rsid w:val="00965005"/>
    <w:rsid w:val="00965270"/>
    <w:rsid w:val="00966857"/>
    <w:rsid w:val="00967103"/>
    <w:rsid w:val="00967A68"/>
    <w:rsid w:val="00973166"/>
    <w:rsid w:val="00980E5F"/>
    <w:rsid w:val="00981BA0"/>
    <w:rsid w:val="00982EB0"/>
    <w:rsid w:val="00984B29"/>
    <w:rsid w:val="00990144"/>
    <w:rsid w:val="009927DB"/>
    <w:rsid w:val="00997C2B"/>
    <w:rsid w:val="009A2413"/>
    <w:rsid w:val="009A4D4B"/>
    <w:rsid w:val="009A520A"/>
    <w:rsid w:val="009A5D59"/>
    <w:rsid w:val="009A7CA8"/>
    <w:rsid w:val="009B0094"/>
    <w:rsid w:val="009B3BB8"/>
    <w:rsid w:val="009B3E01"/>
    <w:rsid w:val="009B5A61"/>
    <w:rsid w:val="009B6CD4"/>
    <w:rsid w:val="009C024A"/>
    <w:rsid w:val="009C0704"/>
    <w:rsid w:val="009C2389"/>
    <w:rsid w:val="009C283D"/>
    <w:rsid w:val="009C3597"/>
    <w:rsid w:val="009C3C02"/>
    <w:rsid w:val="009C43A0"/>
    <w:rsid w:val="009D39E5"/>
    <w:rsid w:val="009D4B5C"/>
    <w:rsid w:val="009D5FE3"/>
    <w:rsid w:val="009D5FFA"/>
    <w:rsid w:val="009D7FCB"/>
    <w:rsid w:val="009E409B"/>
    <w:rsid w:val="009E532E"/>
    <w:rsid w:val="009E69FF"/>
    <w:rsid w:val="009E6AF8"/>
    <w:rsid w:val="009F0FB9"/>
    <w:rsid w:val="009F4D84"/>
    <w:rsid w:val="009F675D"/>
    <w:rsid w:val="00A02106"/>
    <w:rsid w:val="00A040F6"/>
    <w:rsid w:val="00A04F04"/>
    <w:rsid w:val="00A0591B"/>
    <w:rsid w:val="00A07902"/>
    <w:rsid w:val="00A108C6"/>
    <w:rsid w:val="00A112E9"/>
    <w:rsid w:val="00A11F86"/>
    <w:rsid w:val="00A177B6"/>
    <w:rsid w:val="00A21EEC"/>
    <w:rsid w:val="00A2200A"/>
    <w:rsid w:val="00A26855"/>
    <w:rsid w:val="00A34F64"/>
    <w:rsid w:val="00A41ADA"/>
    <w:rsid w:val="00A43831"/>
    <w:rsid w:val="00A44256"/>
    <w:rsid w:val="00A44EA6"/>
    <w:rsid w:val="00A465F2"/>
    <w:rsid w:val="00A475A3"/>
    <w:rsid w:val="00A522BB"/>
    <w:rsid w:val="00A561E5"/>
    <w:rsid w:val="00A568AF"/>
    <w:rsid w:val="00A651B7"/>
    <w:rsid w:val="00A7261F"/>
    <w:rsid w:val="00A75345"/>
    <w:rsid w:val="00A81655"/>
    <w:rsid w:val="00A84263"/>
    <w:rsid w:val="00A84319"/>
    <w:rsid w:val="00A85A9C"/>
    <w:rsid w:val="00A85BF7"/>
    <w:rsid w:val="00A8631F"/>
    <w:rsid w:val="00A900AA"/>
    <w:rsid w:val="00A91612"/>
    <w:rsid w:val="00A97AE6"/>
    <w:rsid w:val="00AA2B62"/>
    <w:rsid w:val="00AB06CE"/>
    <w:rsid w:val="00AB09E5"/>
    <w:rsid w:val="00AB3E3D"/>
    <w:rsid w:val="00AB5B36"/>
    <w:rsid w:val="00AB601F"/>
    <w:rsid w:val="00AB6DB2"/>
    <w:rsid w:val="00AB7AE4"/>
    <w:rsid w:val="00AC0C05"/>
    <w:rsid w:val="00AC5E0D"/>
    <w:rsid w:val="00AC79A8"/>
    <w:rsid w:val="00AD177F"/>
    <w:rsid w:val="00AD3CF8"/>
    <w:rsid w:val="00AD3F2F"/>
    <w:rsid w:val="00AD72EA"/>
    <w:rsid w:val="00AE14D2"/>
    <w:rsid w:val="00AE3CDA"/>
    <w:rsid w:val="00AE5032"/>
    <w:rsid w:val="00AE689E"/>
    <w:rsid w:val="00AF0147"/>
    <w:rsid w:val="00AF2645"/>
    <w:rsid w:val="00AF2D06"/>
    <w:rsid w:val="00AF35BB"/>
    <w:rsid w:val="00AF65EC"/>
    <w:rsid w:val="00AF7630"/>
    <w:rsid w:val="00AF7D45"/>
    <w:rsid w:val="00B00EEB"/>
    <w:rsid w:val="00B03481"/>
    <w:rsid w:val="00B05BE2"/>
    <w:rsid w:val="00B064DA"/>
    <w:rsid w:val="00B06C71"/>
    <w:rsid w:val="00B125CA"/>
    <w:rsid w:val="00B12F52"/>
    <w:rsid w:val="00B1689B"/>
    <w:rsid w:val="00B20999"/>
    <w:rsid w:val="00B25E95"/>
    <w:rsid w:val="00B26C8A"/>
    <w:rsid w:val="00B30B71"/>
    <w:rsid w:val="00B32A35"/>
    <w:rsid w:val="00B47C33"/>
    <w:rsid w:val="00B51EA7"/>
    <w:rsid w:val="00B52D77"/>
    <w:rsid w:val="00B54170"/>
    <w:rsid w:val="00B54BED"/>
    <w:rsid w:val="00B566BA"/>
    <w:rsid w:val="00B6239F"/>
    <w:rsid w:val="00B63EB9"/>
    <w:rsid w:val="00B65A9D"/>
    <w:rsid w:val="00B67E8E"/>
    <w:rsid w:val="00B73303"/>
    <w:rsid w:val="00B73CC2"/>
    <w:rsid w:val="00B76332"/>
    <w:rsid w:val="00B84350"/>
    <w:rsid w:val="00B85A4D"/>
    <w:rsid w:val="00B93482"/>
    <w:rsid w:val="00B94072"/>
    <w:rsid w:val="00B944F3"/>
    <w:rsid w:val="00BA4C24"/>
    <w:rsid w:val="00BA52AC"/>
    <w:rsid w:val="00BA7245"/>
    <w:rsid w:val="00BA752E"/>
    <w:rsid w:val="00BB020D"/>
    <w:rsid w:val="00BB6902"/>
    <w:rsid w:val="00BC0D1D"/>
    <w:rsid w:val="00BC2905"/>
    <w:rsid w:val="00BD3A9B"/>
    <w:rsid w:val="00BD7DA2"/>
    <w:rsid w:val="00BE1EF5"/>
    <w:rsid w:val="00BE25FA"/>
    <w:rsid w:val="00BE2B21"/>
    <w:rsid w:val="00BE673A"/>
    <w:rsid w:val="00BF09D3"/>
    <w:rsid w:val="00BF0C02"/>
    <w:rsid w:val="00BF1790"/>
    <w:rsid w:val="00BF510C"/>
    <w:rsid w:val="00BF5292"/>
    <w:rsid w:val="00BF6D93"/>
    <w:rsid w:val="00C006DC"/>
    <w:rsid w:val="00C031BE"/>
    <w:rsid w:val="00C07E2E"/>
    <w:rsid w:val="00C17BF4"/>
    <w:rsid w:val="00C227D5"/>
    <w:rsid w:val="00C27899"/>
    <w:rsid w:val="00C30767"/>
    <w:rsid w:val="00C32A9A"/>
    <w:rsid w:val="00C33C2C"/>
    <w:rsid w:val="00C34E5B"/>
    <w:rsid w:val="00C35061"/>
    <w:rsid w:val="00C352DC"/>
    <w:rsid w:val="00C37DD8"/>
    <w:rsid w:val="00C42EC2"/>
    <w:rsid w:val="00C46EE1"/>
    <w:rsid w:val="00C50769"/>
    <w:rsid w:val="00C52CB7"/>
    <w:rsid w:val="00C605C1"/>
    <w:rsid w:val="00C61331"/>
    <w:rsid w:val="00C619D5"/>
    <w:rsid w:val="00C63A76"/>
    <w:rsid w:val="00C65266"/>
    <w:rsid w:val="00C65565"/>
    <w:rsid w:val="00C656E1"/>
    <w:rsid w:val="00C75FC8"/>
    <w:rsid w:val="00C76763"/>
    <w:rsid w:val="00C76D1D"/>
    <w:rsid w:val="00C95817"/>
    <w:rsid w:val="00CA7E33"/>
    <w:rsid w:val="00CB6845"/>
    <w:rsid w:val="00CB7D22"/>
    <w:rsid w:val="00CC2FC4"/>
    <w:rsid w:val="00CC3143"/>
    <w:rsid w:val="00CC5B27"/>
    <w:rsid w:val="00CD06A7"/>
    <w:rsid w:val="00CD25BB"/>
    <w:rsid w:val="00CD67E8"/>
    <w:rsid w:val="00CE1232"/>
    <w:rsid w:val="00CE7188"/>
    <w:rsid w:val="00CF0161"/>
    <w:rsid w:val="00CF4971"/>
    <w:rsid w:val="00CF50F8"/>
    <w:rsid w:val="00D00C10"/>
    <w:rsid w:val="00D05BB3"/>
    <w:rsid w:val="00D0796A"/>
    <w:rsid w:val="00D172D5"/>
    <w:rsid w:val="00D27099"/>
    <w:rsid w:val="00D3157B"/>
    <w:rsid w:val="00D33B7E"/>
    <w:rsid w:val="00D37F1C"/>
    <w:rsid w:val="00D404E1"/>
    <w:rsid w:val="00D415E3"/>
    <w:rsid w:val="00D47D1B"/>
    <w:rsid w:val="00D52736"/>
    <w:rsid w:val="00D541F9"/>
    <w:rsid w:val="00D55FD4"/>
    <w:rsid w:val="00D62F6D"/>
    <w:rsid w:val="00D63DCF"/>
    <w:rsid w:val="00D64404"/>
    <w:rsid w:val="00D70D3C"/>
    <w:rsid w:val="00D77326"/>
    <w:rsid w:val="00D83469"/>
    <w:rsid w:val="00D85C6B"/>
    <w:rsid w:val="00D90A93"/>
    <w:rsid w:val="00D91AA3"/>
    <w:rsid w:val="00D9311D"/>
    <w:rsid w:val="00D935F7"/>
    <w:rsid w:val="00D9570A"/>
    <w:rsid w:val="00DA1305"/>
    <w:rsid w:val="00DA1C4B"/>
    <w:rsid w:val="00DA1E8F"/>
    <w:rsid w:val="00DA3A57"/>
    <w:rsid w:val="00DA56FD"/>
    <w:rsid w:val="00DB4A8B"/>
    <w:rsid w:val="00DB599C"/>
    <w:rsid w:val="00DC01F2"/>
    <w:rsid w:val="00DC2C64"/>
    <w:rsid w:val="00DD0519"/>
    <w:rsid w:val="00DD25DB"/>
    <w:rsid w:val="00DD4CD0"/>
    <w:rsid w:val="00DD7A5B"/>
    <w:rsid w:val="00DE77BA"/>
    <w:rsid w:val="00DF1026"/>
    <w:rsid w:val="00E01056"/>
    <w:rsid w:val="00E02B5C"/>
    <w:rsid w:val="00E05730"/>
    <w:rsid w:val="00E07DF8"/>
    <w:rsid w:val="00E15BBF"/>
    <w:rsid w:val="00E16058"/>
    <w:rsid w:val="00E21481"/>
    <w:rsid w:val="00E221EF"/>
    <w:rsid w:val="00E24080"/>
    <w:rsid w:val="00E244C6"/>
    <w:rsid w:val="00E278BC"/>
    <w:rsid w:val="00E30935"/>
    <w:rsid w:val="00E310FD"/>
    <w:rsid w:val="00E31772"/>
    <w:rsid w:val="00E33A29"/>
    <w:rsid w:val="00E35952"/>
    <w:rsid w:val="00E376A3"/>
    <w:rsid w:val="00E37C6D"/>
    <w:rsid w:val="00E407E1"/>
    <w:rsid w:val="00E42F4A"/>
    <w:rsid w:val="00E4608C"/>
    <w:rsid w:val="00E47720"/>
    <w:rsid w:val="00E545C9"/>
    <w:rsid w:val="00E557DE"/>
    <w:rsid w:val="00E55F54"/>
    <w:rsid w:val="00E56FDE"/>
    <w:rsid w:val="00E6081C"/>
    <w:rsid w:val="00E62656"/>
    <w:rsid w:val="00E63A77"/>
    <w:rsid w:val="00E67317"/>
    <w:rsid w:val="00E67C84"/>
    <w:rsid w:val="00E71BD4"/>
    <w:rsid w:val="00E724F5"/>
    <w:rsid w:val="00E77199"/>
    <w:rsid w:val="00E8116A"/>
    <w:rsid w:val="00E83D6A"/>
    <w:rsid w:val="00E84D47"/>
    <w:rsid w:val="00E85761"/>
    <w:rsid w:val="00E85C9A"/>
    <w:rsid w:val="00E8684B"/>
    <w:rsid w:val="00E9227F"/>
    <w:rsid w:val="00E92618"/>
    <w:rsid w:val="00E9510C"/>
    <w:rsid w:val="00E95EE2"/>
    <w:rsid w:val="00E97A3A"/>
    <w:rsid w:val="00EA1BF7"/>
    <w:rsid w:val="00EA7657"/>
    <w:rsid w:val="00EB1B96"/>
    <w:rsid w:val="00EB1DB2"/>
    <w:rsid w:val="00EB51C0"/>
    <w:rsid w:val="00EB6E30"/>
    <w:rsid w:val="00EB7A54"/>
    <w:rsid w:val="00EC64D8"/>
    <w:rsid w:val="00EC69D2"/>
    <w:rsid w:val="00ED0767"/>
    <w:rsid w:val="00ED0C3A"/>
    <w:rsid w:val="00ED649D"/>
    <w:rsid w:val="00EE1057"/>
    <w:rsid w:val="00EE402A"/>
    <w:rsid w:val="00EE7A60"/>
    <w:rsid w:val="00EF0272"/>
    <w:rsid w:val="00EF0807"/>
    <w:rsid w:val="00EF150A"/>
    <w:rsid w:val="00EF1860"/>
    <w:rsid w:val="00EF3AE0"/>
    <w:rsid w:val="00F0129C"/>
    <w:rsid w:val="00F0453E"/>
    <w:rsid w:val="00F0592F"/>
    <w:rsid w:val="00F11C3F"/>
    <w:rsid w:val="00F141E6"/>
    <w:rsid w:val="00F155F0"/>
    <w:rsid w:val="00F2011C"/>
    <w:rsid w:val="00F25A22"/>
    <w:rsid w:val="00F3580A"/>
    <w:rsid w:val="00F3593D"/>
    <w:rsid w:val="00F35ABB"/>
    <w:rsid w:val="00F37291"/>
    <w:rsid w:val="00F42A80"/>
    <w:rsid w:val="00F44CD1"/>
    <w:rsid w:val="00F471EC"/>
    <w:rsid w:val="00F52E25"/>
    <w:rsid w:val="00F539A6"/>
    <w:rsid w:val="00F56CE5"/>
    <w:rsid w:val="00F57F69"/>
    <w:rsid w:val="00F65795"/>
    <w:rsid w:val="00F65FC8"/>
    <w:rsid w:val="00F72398"/>
    <w:rsid w:val="00F77106"/>
    <w:rsid w:val="00F90D64"/>
    <w:rsid w:val="00F928FB"/>
    <w:rsid w:val="00FB2119"/>
    <w:rsid w:val="00FB3631"/>
    <w:rsid w:val="00FB486F"/>
    <w:rsid w:val="00FB6F0E"/>
    <w:rsid w:val="00FC4DBE"/>
    <w:rsid w:val="00FC7E56"/>
    <w:rsid w:val="00FD272E"/>
    <w:rsid w:val="00FD3699"/>
    <w:rsid w:val="00FD4009"/>
    <w:rsid w:val="00FD4099"/>
    <w:rsid w:val="00FD4C6D"/>
    <w:rsid w:val="00FD6F33"/>
    <w:rsid w:val="00FD7E42"/>
    <w:rsid w:val="00FE07D0"/>
    <w:rsid w:val="00FF45B4"/>
    <w:rsid w:val="00FF5B1B"/>
    <w:rsid w:val="00FF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93C5DF-F833-4E40-9E07-535A86E1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3A0"/>
    <w:rPr>
      <w:sz w:val="24"/>
      <w:szCs w:val="24"/>
    </w:rPr>
  </w:style>
  <w:style w:type="paragraph" w:styleId="Heading1">
    <w:name w:val="heading 1"/>
    <w:basedOn w:val="Normal"/>
    <w:next w:val="Normal"/>
    <w:link w:val="Heading1Char"/>
    <w:qFormat/>
    <w:rsid w:val="008B059B"/>
    <w:pPr>
      <w:keepNext/>
      <w:jc w:val="center"/>
      <w:outlineLvl w:val="0"/>
    </w:pPr>
    <w:rPr>
      <w:b/>
      <w:bCs/>
      <w:sz w:val="28"/>
    </w:rPr>
  </w:style>
  <w:style w:type="paragraph" w:styleId="Heading2">
    <w:name w:val="heading 2"/>
    <w:basedOn w:val="Normal"/>
    <w:next w:val="Normal"/>
    <w:link w:val="Heading2Char"/>
    <w:qFormat/>
    <w:rsid w:val="008B059B"/>
    <w:pPr>
      <w:keepNext/>
      <w:outlineLvl w:val="1"/>
    </w:pPr>
    <w:rPr>
      <w:i/>
      <w:iCs/>
    </w:rPr>
  </w:style>
  <w:style w:type="paragraph" w:styleId="Heading3">
    <w:name w:val="heading 3"/>
    <w:basedOn w:val="Normal"/>
    <w:next w:val="Normal"/>
    <w:link w:val="Heading3Char"/>
    <w:qFormat/>
    <w:rsid w:val="008B059B"/>
    <w:pPr>
      <w:keepNext/>
      <w:outlineLvl w:val="2"/>
    </w:pPr>
    <w:rPr>
      <w:i/>
      <w:iCs/>
    </w:rPr>
  </w:style>
  <w:style w:type="paragraph" w:styleId="Heading4">
    <w:name w:val="heading 4"/>
    <w:basedOn w:val="Normal"/>
    <w:next w:val="Normal"/>
    <w:link w:val="Heading4Char"/>
    <w:qFormat/>
    <w:rsid w:val="008B059B"/>
    <w:pPr>
      <w:keepNext/>
      <w:outlineLvl w:val="3"/>
    </w:pPr>
    <w:rPr>
      <w:b/>
      <w:bCs/>
    </w:rPr>
  </w:style>
  <w:style w:type="paragraph" w:styleId="Heading5">
    <w:name w:val="heading 5"/>
    <w:basedOn w:val="Normal"/>
    <w:next w:val="Normal"/>
    <w:qFormat/>
    <w:rsid w:val="008B059B"/>
    <w:pPr>
      <w:keepNext/>
      <w:outlineLvl w:val="4"/>
    </w:pPr>
    <w:rPr>
      <w:b/>
      <w:bCs/>
      <w:sz w:val="20"/>
    </w:rPr>
  </w:style>
  <w:style w:type="paragraph" w:styleId="Heading6">
    <w:name w:val="heading 6"/>
    <w:basedOn w:val="Normal"/>
    <w:next w:val="Normal"/>
    <w:qFormat/>
    <w:rsid w:val="008B059B"/>
    <w:pPr>
      <w:keepNext/>
      <w:jc w:val="center"/>
      <w:outlineLvl w:val="5"/>
    </w:pPr>
    <w:rPr>
      <w:b/>
      <w:bCs/>
    </w:rPr>
  </w:style>
  <w:style w:type="paragraph" w:styleId="Heading7">
    <w:name w:val="heading 7"/>
    <w:basedOn w:val="Normal"/>
    <w:next w:val="Normal"/>
    <w:qFormat/>
    <w:rsid w:val="008B059B"/>
    <w:pPr>
      <w:keepNext/>
      <w:ind w:left="720" w:hanging="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059B"/>
    <w:pPr>
      <w:jc w:val="center"/>
    </w:pPr>
    <w:rPr>
      <w:b/>
      <w:bCs/>
    </w:rPr>
  </w:style>
  <w:style w:type="paragraph" w:styleId="BodyTextIndent">
    <w:name w:val="Body Text Indent"/>
    <w:basedOn w:val="Normal"/>
    <w:rsid w:val="008B059B"/>
    <w:pPr>
      <w:ind w:left="720"/>
    </w:pPr>
  </w:style>
  <w:style w:type="paragraph" w:styleId="TOC1">
    <w:name w:val="toc 1"/>
    <w:basedOn w:val="Normal"/>
    <w:next w:val="Normal"/>
    <w:autoRedefine/>
    <w:uiPriority w:val="39"/>
    <w:rsid w:val="008B059B"/>
    <w:pPr>
      <w:tabs>
        <w:tab w:val="right" w:leader="underscore" w:pos="9523"/>
      </w:tabs>
      <w:spacing w:before="120"/>
    </w:pPr>
    <w:rPr>
      <w:b/>
      <w:bCs/>
      <w:i/>
      <w:iCs/>
      <w:noProof/>
      <w:color w:val="000000"/>
      <w:szCs w:val="28"/>
    </w:rPr>
  </w:style>
  <w:style w:type="character" w:styleId="Hyperlink">
    <w:name w:val="Hyperlink"/>
    <w:uiPriority w:val="99"/>
    <w:rsid w:val="008B059B"/>
    <w:rPr>
      <w:color w:val="0000FF"/>
      <w:u w:val="single"/>
    </w:rPr>
  </w:style>
  <w:style w:type="paragraph" w:styleId="BodyText">
    <w:name w:val="Body Text"/>
    <w:basedOn w:val="Normal"/>
    <w:link w:val="BodyTextChar"/>
    <w:rsid w:val="008B059B"/>
    <w:pPr>
      <w:widowControl w:val="0"/>
      <w:tabs>
        <w:tab w:val="left" w:pos="-1440"/>
        <w:tab w:val="left" w:pos="-720"/>
        <w:tab w:val="left" w:pos="0"/>
        <w:tab w:val="left" w:pos="360"/>
        <w:tab w:val="left" w:pos="1440"/>
      </w:tabs>
      <w:suppressAutoHyphens/>
      <w:spacing w:line="244" w:lineRule="exact"/>
      <w:jc w:val="both"/>
    </w:pPr>
    <w:rPr>
      <w:rFonts w:ascii="CG Times" w:hAnsi="CG Times"/>
      <w:bCs/>
      <w:spacing w:val="-3"/>
      <w:sz w:val="20"/>
      <w:szCs w:val="20"/>
    </w:rPr>
  </w:style>
  <w:style w:type="paragraph" w:styleId="BodyTextIndent2">
    <w:name w:val="Body Text Indent 2"/>
    <w:basedOn w:val="Normal"/>
    <w:rsid w:val="008B059B"/>
    <w:pPr>
      <w:widowControl w:val="0"/>
      <w:tabs>
        <w:tab w:val="left" w:pos="-1440"/>
        <w:tab w:val="left" w:pos="-720"/>
        <w:tab w:val="left" w:pos="0"/>
        <w:tab w:val="left" w:pos="360"/>
        <w:tab w:val="left" w:pos="720"/>
        <w:tab w:val="left" w:pos="2160"/>
      </w:tabs>
      <w:suppressAutoHyphens/>
      <w:spacing w:line="244" w:lineRule="exact"/>
      <w:ind w:left="360" w:hanging="360"/>
      <w:jc w:val="both"/>
    </w:pPr>
    <w:rPr>
      <w:rFonts w:ascii="CG Times" w:hAnsi="CG Times"/>
      <w:spacing w:val="-3"/>
      <w:sz w:val="22"/>
      <w:szCs w:val="20"/>
    </w:rPr>
  </w:style>
  <w:style w:type="paragraph" w:styleId="BodyTextIndent3">
    <w:name w:val="Body Text Indent 3"/>
    <w:basedOn w:val="Normal"/>
    <w:rsid w:val="008B059B"/>
    <w:pPr>
      <w:widowControl w:val="0"/>
      <w:ind w:left="1440"/>
    </w:pPr>
    <w:rPr>
      <w:snapToGrid w:val="0"/>
      <w:szCs w:val="20"/>
    </w:rPr>
  </w:style>
  <w:style w:type="paragraph" w:styleId="Footer">
    <w:name w:val="footer"/>
    <w:basedOn w:val="Normal"/>
    <w:rsid w:val="008B059B"/>
    <w:pPr>
      <w:tabs>
        <w:tab w:val="center" w:pos="4320"/>
        <w:tab w:val="right" w:pos="8640"/>
      </w:tabs>
    </w:pPr>
  </w:style>
  <w:style w:type="character" w:styleId="PageNumber">
    <w:name w:val="page number"/>
    <w:basedOn w:val="DefaultParagraphFont"/>
    <w:rsid w:val="008B059B"/>
  </w:style>
  <w:style w:type="character" w:styleId="FollowedHyperlink">
    <w:name w:val="FollowedHyperlink"/>
    <w:rsid w:val="008B059B"/>
    <w:rPr>
      <w:color w:val="800080"/>
      <w:u w:val="single"/>
    </w:rPr>
  </w:style>
  <w:style w:type="paragraph" w:styleId="BodyText3">
    <w:name w:val="Body Text 3"/>
    <w:basedOn w:val="Normal"/>
    <w:rsid w:val="008B059B"/>
    <w:rPr>
      <w:rFonts w:ascii="CG Omega" w:hAnsi="CG Omega"/>
      <w:sz w:val="18"/>
    </w:rPr>
  </w:style>
  <w:style w:type="table" w:styleId="TableGrid">
    <w:name w:val="Table Grid"/>
    <w:basedOn w:val="TableNormal"/>
    <w:rsid w:val="008B0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B059B"/>
    <w:pPr>
      <w:tabs>
        <w:tab w:val="center" w:pos="4320"/>
        <w:tab w:val="right" w:pos="8640"/>
      </w:tabs>
    </w:pPr>
  </w:style>
  <w:style w:type="paragraph" w:styleId="NormalWeb">
    <w:name w:val="Normal (Web)"/>
    <w:basedOn w:val="Normal"/>
    <w:rsid w:val="008B059B"/>
    <w:pPr>
      <w:spacing w:before="100" w:beforeAutospacing="1" w:after="100" w:afterAutospacing="1"/>
    </w:pPr>
  </w:style>
  <w:style w:type="paragraph" w:styleId="BalloonText">
    <w:name w:val="Balloon Text"/>
    <w:basedOn w:val="Normal"/>
    <w:semiHidden/>
    <w:rsid w:val="0014563B"/>
    <w:rPr>
      <w:rFonts w:ascii="Tahoma" w:hAnsi="Tahoma" w:cs="Tahoma"/>
      <w:sz w:val="16"/>
      <w:szCs w:val="16"/>
    </w:rPr>
  </w:style>
  <w:style w:type="character" w:customStyle="1" w:styleId="GenevieveNapier">
    <w:name w:val="Genevieve Napier"/>
    <w:semiHidden/>
    <w:rsid w:val="00B00EEB"/>
    <w:rPr>
      <w:rFonts w:ascii="Arial" w:hAnsi="Arial" w:cs="Arial"/>
      <w:color w:val="000080"/>
      <w:sz w:val="20"/>
      <w:szCs w:val="20"/>
    </w:rPr>
  </w:style>
  <w:style w:type="character" w:styleId="CommentReference">
    <w:name w:val="annotation reference"/>
    <w:semiHidden/>
    <w:rsid w:val="00161EDE"/>
    <w:rPr>
      <w:sz w:val="16"/>
      <w:szCs w:val="16"/>
    </w:rPr>
  </w:style>
  <w:style w:type="paragraph" w:styleId="CommentText">
    <w:name w:val="annotation text"/>
    <w:basedOn w:val="Normal"/>
    <w:semiHidden/>
    <w:rsid w:val="00161EDE"/>
    <w:rPr>
      <w:sz w:val="20"/>
      <w:szCs w:val="20"/>
    </w:rPr>
  </w:style>
  <w:style w:type="paragraph" w:styleId="CommentSubject">
    <w:name w:val="annotation subject"/>
    <w:basedOn w:val="CommentText"/>
    <w:next w:val="CommentText"/>
    <w:semiHidden/>
    <w:rsid w:val="00804E31"/>
    <w:rPr>
      <w:b/>
      <w:bCs/>
    </w:rPr>
  </w:style>
  <w:style w:type="paragraph" w:styleId="TOC2">
    <w:name w:val="toc 2"/>
    <w:basedOn w:val="Normal"/>
    <w:next w:val="Normal"/>
    <w:autoRedefine/>
    <w:uiPriority w:val="39"/>
    <w:rsid w:val="00A040F6"/>
    <w:pPr>
      <w:tabs>
        <w:tab w:val="right" w:leader="underscore" w:pos="10790"/>
      </w:tabs>
      <w:ind w:left="720"/>
      <w:jc w:val="center"/>
    </w:pPr>
    <w:rPr>
      <w:rFonts w:ascii="Calibri" w:hAnsi="Calibri"/>
      <w:sz w:val="28"/>
      <w:szCs w:val="28"/>
    </w:rPr>
  </w:style>
  <w:style w:type="character" w:styleId="Strong">
    <w:name w:val="Strong"/>
    <w:qFormat/>
    <w:rsid w:val="00F72398"/>
    <w:rPr>
      <w:b/>
      <w:bCs/>
    </w:rPr>
  </w:style>
  <w:style w:type="paragraph" w:styleId="ListParagraph">
    <w:name w:val="List Paragraph"/>
    <w:basedOn w:val="Normal"/>
    <w:qFormat/>
    <w:rsid w:val="005147FF"/>
    <w:pPr>
      <w:spacing w:after="200" w:line="276" w:lineRule="auto"/>
      <w:ind w:left="720"/>
      <w:contextualSpacing/>
    </w:pPr>
    <w:rPr>
      <w:rFonts w:ascii="Calibri" w:hAnsi="Calibri"/>
      <w:sz w:val="22"/>
      <w:szCs w:val="22"/>
    </w:rPr>
  </w:style>
  <w:style w:type="character" w:customStyle="1" w:styleId="Heading2Char">
    <w:name w:val="Heading 2 Char"/>
    <w:link w:val="Heading2"/>
    <w:rsid w:val="009B5A61"/>
    <w:rPr>
      <w:i/>
      <w:iCs/>
      <w:sz w:val="24"/>
      <w:szCs w:val="24"/>
    </w:rPr>
  </w:style>
  <w:style w:type="paragraph" w:styleId="DocumentMap">
    <w:name w:val="Document Map"/>
    <w:basedOn w:val="Normal"/>
    <w:semiHidden/>
    <w:rsid w:val="00827872"/>
    <w:pPr>
      <w:shd w:val="clear" w:color="auto" w:fill="000080"/>
    </w:pPr>
    <w:rPr>
      <w:rFonts w:ascii="Tahoma" w:hAnsi="Tahoma" w:cs="Tahoma"/>
      <w:sz w:val="20"/>
      <w:szCs w:val="20"/>
    </w:rPr>
  </w:style>
  <w:style w:type="paragraph" w:customStyle="1" w:styleId="Italics">
    <w:name w:val="Italics"/>
    <w:basedOn w:val="Normal"/>
    <w:link w:val="ItalicsChar"/>
    <w:unhideWhenUsed/>
    <w:rsid w:val="0092532D"/>
    <w:rPr>
      <w:rFonts w:ascii="Tahoma" w:hAnsi="Tahoma"/>
      <w:i/>
      <w:sz w:val="14"/>
    </w:rPr>
  </w:style>
  <w:style w:type="character" w:customStyle="1" w:styleId="ItalicsChar">
    <w:name w:val="Italics Char"/>
    <w:link w:val="Italics"/>
    <w:rsid w:val="0092532D"/>
    <w:rPr>
      <w:rFonts w:ascii="Tahoma" w:hAnsi="Tahoma"/>
      <w:i/>
      <w:sz w:val="14"/>
      <w:szCs w:val="24"/>
    </w:rPr>
  </w:style>
  <w:style w:type="character" w:customStyle="1" w:styleId="Heading1Char">
    <w:name w:val="Heading 1 Char"/>
    <w:link w:val="Heading1"/>
    <w:rsid w:val="0092532D"/>
    <w:rPr>
      <w:b/>
      <w:bCs/>
      <w:sz w:val="28"/>
      <w:szCs w:val="24"/>
    </w:rPr>
  </w:style>
  <w:style w:type="character" w:customStyle="1" w:styleId="Heading4Char">
    <w:name w:val="Heading 4 Char"/>
    <w:link w:val="Heading4"/>
    <w:rsid w:val="0092532D"/>
    <w:rPr>
      <w:b/>
      <w:bCs/>
      <w:sz w:val="24"/>
      <w:szCs w:val="24"/>
    </w:rPr>
  </w:style>
  <w:style w:type="paragraph" w:customStyle="1" w:styleId="Italic">
    <w:name w:val="Italic"/>
    <w:basedOn w:val="Normal"/>
    <w:qFormat/>
    <w:rsid w:val="0092532D"/>
    <w:pPr>
      <w:spacing w:before="120" w:after="60"/>
    </w:pPr>
    <w:rPr>
      <w:rFonts w:ascii="Tahoma" w:hAnsi="Tahoma"/>
      <w:i/>
      <w:sz w:val="20"/>
      <w:szCs w:val="20"/>
    </w:rPr>
  </w:style>
  <w:style w:type="paragraph" w:customStyle="1" w:styleId="FieldText">
    <w:name w:val="Field Text"/>
    <w:basedOn w:val="Normal"/>
    <w:link w:val="FieldTextChar"/>
    <w:qFormat/>
    <w:rsid w:val="0092532D"/>
    <w:rPr>
      <w:rFonts w:ascii="Tahoma" w:hAnsi="Tahoma"/>
      <w:b/>
      <w:sz w:val="19"/>
      <w:szCs w:val="19"/>
    </w:rPr>
  </w:style>
  <w:style w:type="character" w:customStyle="1" w:styleId="FieldTextChar">
    <w:name w:val="Field Text Char"/>
    <w:link w:val="FieldText"/>
    <w:rsid w:val="0092532D"/>
    <w:rPr>
      <w:rFonts w:ascii="Tahoma" w:hAnsi="Tahoma"/>
      <w:b/>
      <w:sz w:val="19"/>
      <w:szCs w:val="19"/>
    </w:rPr>
  </w:style>
  <w:style w:type="character" w:customStyle="1" w:styleId="BodyTextChar">
    <w:name w:val="Body Text Char"/>
    <w:link w:val="BodyText"/>
    <w:rsid w:val="0092532D"/>
    <w:rPr>
      <w:rFonts w:ascii="CG Times" w:hAnsi="CG Times"/>
      <w:bCs/>
      <w:spacing w:val="-3"/>
    </w:rPr>
  </w:style>
  <w:style w:type="paragraph" w:customStyle="1" w:styleId="StyleStyleStyleBodyTextLeftCentered">
    <w:name w:val="Style Style Style Body Text + Left + Centered"/>
    <w:basedOn w:val="Normal"/>
    <w:rsid w:val="0092532D"/>
    <w:pPr>
      <w:jc w:val="center"/>
    </w:pPr>
    <w:rPr>
      <w:rFonts w:ascii="Tahoma" w:hAnsi="Tahoma"/>
      <w:b/>
      <w:bCs/>
      <w:sz w:val="18"/>
      <w:szCs w:val="20"/>
    </w:rPr>
  </w:style>
  <w:style w:type="paragraph" w:customStyle="1" w:styleId="StyleBodyText">
    <w:name w:val="Style Body Text"/>
    <w:basedOn w:val="BodyText"/>
    <w:rsid w:val="0092532D"/>
    <w:pPr>
      <w:widowControl/>
      <w:tabs>
        <w:tab w:val="clear" w:pos="-1440"/>
        <w:tab w:val="clear" w:pos="-720"/>
        <w:tab w:val="clear" w:pos="0"/>
        <w:tab w:val="clear" w:pos="360"/>
        <w:tab w:val="clear" w:pos="1440"/>
      </w:tabs>
      <w:suppressAutoHyphens w:val="0"/>
      <w:spacing w:line="240" w:lineRule="auto"/>
      <w:jc w:val="center"/>
    </w:pPr>
    <w:rPr>
      <w:rFonts w:ascii="Tahoma" w:hAnsi="Tahoma"/>
      <w:b/>
      <w:bCs w:val="0"/>
      <w:spacing w:val="0"/>
      <w:sz w:val="18"/>
      <w:szCs w:val="19"/>
    </w:rPr>
  </w:style>
  <w:style w:type="paragraph" w:customStyle="1" w:styleId="answers">
    <w:name w:val="answers"/>
    <w:basedOn w:val="BodyText"/>
    <w:link w:val="answersChar"/>
    <w:rsid w:val="0092532D"/>
    <w:pPr>
      <w:widowControl/>
      <w:tabs>
        <w:tab w:val="clear" w:pos="-1440"/>
        <w:tab w:val="clear" w:pos="-720"/>
        <w:tab w:val="clear" w:pos="0"/>
        <w:tab w:val="clear" w:pos="360"/>
        <w:tab w:val="clear" w:pos="1440"/>
      </w:tabs>
      <w:suppressAutoHyphens w:val="0"/>
      <w:spacing w:line="240" w:lineRule="auto"/>
      <w:jc w:val="left"/>
    </w:pPr>
    <w:rPr>
      <w:rFonts w:ascii="Tahoma" w:hAnsi="Tahoma"/>
      <w:bCs w:val="0"/>
      <w:spacing w:val="0"/>
      <w:sz w:val="18"/>
      <w:szCs w:val="19"/>
    </w:rPr>
  </w:style>
  <w:style w:type="character" w:customStyle="1" w:styleId="answersChar">
    <w:name w:val="answers Char"/>
    <w:link w:val="answers"/>
    <w:rsid w:val="0092532D"/>
    <w:rPr>
      <w:rFonts w:ascii="Tahoma" w:hAnsi="Tahoma"/>
      <w:sz w:val="18"/>
      <w:szCs w:val="19"/>
    </w:rPr>
  </w:style>
  <w:style w:type="character" w:customStyle="1" w:styleId="Heading3Char">
    <w:name w:val="Heading 3 Char"/>
    <w:link w:val="Heading3"/>
    <w:rsid w:val="0092532D"/>
    <w:rPr>
      <w:i/>
      <w:iCs/>
      <w:sz w:val="24"/>
      <w:szCs w:val="24"/>
    </w:rPr>
  </w:style>
  <w:style w:type="paragraph" w:customStyle="1" w:styleId="StyleFieldText2NotBoldBefore6pt">
    <w:name w:val="Style Field Text 2 + Not Bold Before:  6 pt"/>
    <w:basedOn w:val="Normal"/>
    <w:rsid w:val="0092532D"/>
    <w:pPr>
      <w:spacing w:before="120" w:after="120"/>
    </w:pPr>
    <w:rPr>
      <w:rFonts w:ascii="Tahoma" w:hAnsi="Tahoma"/>
      <w:sz w:val="18"/>
      <w:szCs w:val="20"/>
    </w:rPr>
  </w:style>
  <w:style w:type="paragraph" w:customStyle="1" w:styleId="StyleStyleBodyTextUnderlineLeft">
    <w:name w:val="Style Style Body Text + Underline + Left"/>
    <w:basedOn w:val="StyleBodyText"/>
    <w:rsid w:val="0092532D"/>
    <w:pPr>
      <w:jc w:val="left"/>
    </w:pPr>
    <w:rPr>
      <w:bCs/>
      <w:szCs w:val="20"/>
    </w:rPr>
  </w:style>
  <w:style w:type="paragraph" w:styleId="TOCHeading">
    <w:name w:val="TOC Heading"/>
    <w:basedOn w:val="Heading1"/>
    <w:next w:val="Normal"/>
    <w:uiPriority w:val="39"/>
    <w:unhideWhenUsed/>
    <w:qFormat/>
    <w:rsid w:val="00A040F6"/>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1260">
      <w:bodyDiv w:val="1"/>
      <w:marLeft w:val="0"/>
      <w:marRight w:val="0"/>
      <w:marTop w:val="0"/>
      <w:marBottom w:val="0"/>
      <w:divBdr>
        <w:top w:val="none" w:sz="0" w:space="0" w:color="auto"/>
        <w:left w:val="none" w:sz="0" w:space="0" w:color="auto"/>
        <w:bottom w:val="none" w:sz="0" w:space="0" w:color="auto"/>
        <w:right w:val="none" w:sz="0" w:space="0" w:color="auto"/>
      </w:divBdr>
    </w:div>
    <w:div w:id="249629248">
      <w:bodyDiv w:val="1"/>
      <w:marLeft w:val="0"/>
      <w:marRight w:val="0"/>
      <w:marTop w:val="0"/>
      <w:marBottom w:val="0"/>
      <w:divBdr>
        <w:top w:val="none" w:sz="0" w:space="0" w:color="auto"/>
        <w:left w:val="none" w:sz="0" w:space="0" w:color="auto"/>
        <w:bottom w:val="none" w:sz="0" w:space="0" w:color="auto"/>
        <w:right w:val="none" w:sz="0" w:space="0" w:color="auto"/>
      </w:divBdr>
    </w:div>
    <w:div w:id="333072298">
      <w:bodyDiv w:val="1"/>
      <w:marLeft w:val="0"/>
      <w:marRight w:val="0"/>
      <w:marTop w:val="0"/>
      <w:marBottom w:val="0"/>
      <w:divBdr>
        <w:top w:val="none" w:sz="0" w:space="0" w:color="auto"/>
        <w:left w:val="none" w:sz="0" w:space="0" w:color="auto"/>
        <w:bottom w:val="none" w:sz="0" w:space="0" w:color="auto"/>
        <w:right w:val="none" w:sz="0" w:space="0" w:color="auto"/>
      </w:divBdr>
    </w:div>
    <w:div w:id="513423779">
      <w:bodyDiv w:val="1"/>
      <w:marLeft w:val="0"/>
      <w:marRight w:val="0"/>
      <w:marTop w:val="0"/>
      <w:marBottom w:val="0"/>
      <w:divBdr>
        <w:top w:val="none" w:sz="0" w:space="0" w:color="auto"/>
        <w:left w:val="none" w:sz="0" w:space="0" w:color="auto"/>
        <w:bottom w:val="none" w:sz="0" w:space="0" w:color="auto"/>
        <w:right w:val="none" w:sz="0" w:space="0" w:color="auto"/>
      </w:divBdr>
    </w:div>
    <w:div w:id="685407008">
      <w:bodyDiv w:val="1"/>
      <w:marLeft w:val="0"/>
      <w:marRight w:val="0"/>
      <w:marTop w:val="0"/>
      <w:marBottom w:val="0"/>
      <w:divBdr>
        <w:top w:val="none" w:sz="0" w:space="0" w:color="auto"/>
        <w:left w:val="none" w:sz="0" w:space="0" w:color="auto"/>
        <w:bottom w:val="none" w:sz="0" w:space="0" w:color="auto"/>
        <w:right w:val="none" w:sz="0" w:space="0" w:color="auto"/>
      </w:divBdr>
    </w:div>
    <w:div w:id="803156342">
      <w:bodyDiv w:val="1"/>
      <w:marLeft w:val="0"/>
      <w:marRight w:val="0"/>
      <w:marTop w:val="0"/>
      <w:marBottom w:val="0"/>
      <w:divBdr>
        <w:top w:val="none" w:sz="0" w:space="0" w:color="auto"/>
        <w:left w:val="none" w:sz="0" w:space="0" w:color="auto"/>
        <w:bottom w:val="none" w:sz="0" w:space="0" w:color="auto"/>
        <w:right w:val="none" w:sz="0" w:space="0" w:color="auto"/>
      </w:divBdr>
    </w:div>
    <w:div w:id="807893417">
      <w:bodyDiv w:val="1"/>
      <w:marLeft w:val="0"/>
      <w:marRight w:val="0"/>
      <w:marTop w:val="0"/>
      <w:marBottom w:val="0"/>
      <w:divBdr>
        <w:top w:val="none" w:sz="0" w:space="0" w:color="auto"/>
        <w:left w:val="none" w:sz="0" w:space="0" w:color="auto"/>
        <w:bottom w:val="none" w:sz="0" w:space="0" w:color="auto"/>
        <w:right w:val="none" w:sz="0" w:space="0" w:color="auto"/>
      </w:divBdr>
    </w:div>
    <w:div w:id="812451066">
      <w:bodyDiv w:val="1"/>
      <w:marLeft w:val="0"/>
      <w:marRight w:val="0"/>
      <w:marTop w:val="0"/>
      <w:marBottom w:val="0"/>
      <w:divBdr>
        <w:top w:val="none" w:sz="0" w:space="0" w:color="auto"/>
        <w:left w:val="none" w:sz="0" w:space="0" w:color="auto"/>
        <w:bottom w:val="none" w:sz="0" w:space="0" w:color="auto"/>
        <w:right w:val="none" w:sz="0" w:space="0" w:color="auto"/>
      </w:divBdr>
      <w:divsChild>
        <w:div w:id="1638560791">
          <w:marLeft w:val="0"/>
          <w:marRight w:val="0"/>
          <w:marTop w:val="0"/>
          <w:marBottom w:val="0"/>
          <w:divBdr>
            <w:top w:val="none" w:sz="0" w:space="0" w:color="auto"/>
            <w:left w:val="none" w:sz="0" w:space="0" w:color="auto"/>
            <w:bottom w:val="none" w:sz="0" w:space="0" w:color="auto"/>
            <w:right w:val="none" w:sz="0" w:space="0" w:color="auto"/>
          </w:divBdr>
          <w:divsChild>
            <w:div w:id="31615433">
              <w:marLeft w:val="0"/>
              <w:marRight w:val="0"/>
              <w:marTop w:val="0"/>
              <w:marBottom w:val="0"/>
              <w:divBdr>
                <w:top w:val="none" w:sz="0" w:space="0" w:color="auto"/>
                <w:left w:val="none" w:sz="0" w:space="0" w:color="auto"/>
                <w:bottom w:val="none" w:sz="0" w:space="0" w:color="auto"/>
                <w:right w:val="none" w:sz="0" w:space="0" w:color="auto"/>
              </w:divBdr>
              <w:divsChild>
                <w:div w:id="1711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03566">
      <w:bodyDiv w:val="1"/>
      <w:marLeft w:val="0"/>
      <w:marRight w:val="0"/>
      <w:marTop w:val="0"/>
      <w:marBottom w:val="0"/>
      <w:divBdr>
        <w:top w:val="none" w:sz="0" w:space="0" w:color="auto"/>
        <w:left w:val="none" w:sz="0" w:space="0" w:color="auto"/>
        <w:bottom w:val="none" w:sz="0" w:space="0" w:color="auto"/>
        <w:right w:val="none" w:sz="0" w:space="0" w:color="auto"/>
      </w:divBdr>
    </w:div>
    <w:div w:id="1438981516">
      <w:bodyDiv w:val="1"/>
      <w:marLeft w:val="0"/>
      <w:marRight w:val="0"/>
      <w:marTop w:val="0"/>
      <w:marBottom w:val="0"/>
      <w:divBdr>
        <w:top w:val="none" w:sz="0" w:space="0" w:color="auto"/>
        <w:left w:val="none" w:sz="0" w:space="0" w:color="auto"/>
        <w:bottom w:val="none" w:sz="0" w:space="0" w:color="auto"/>
        <w:right w:val="none" w:sz="0" w:space="0" w:color="auto"/>
      </w:divBdr>
    </w:div>
    <w:div w:id="1651522978">
      <w:bodyDiv w:val="1"/>
      <w:marLeft w:val="0"/>
      <w:marRight w:val="0"/>
      <w:marTop w:val="0"/>
      <w:marBottom w:val="0"/>
      <w:divBdr>
        <w:top w:val="none" w:sz="0" w:space="0" w:color="auto"/>
        <w:left w:val="none" w:sz="0" w:space="0" w:color="auto"/>
        <w:bottom w:val="none" w:sz="0" w:space="0" w:color="auto"/>
        <w:right w:val="none" w:sz="0" w:space="0" w:color="auto"/>
      </w:divBdr>
      <w:divsChild>
        <w:div w:id="1670595928">
          <w:marLeft w:val="0"/>
          <w:marRight w:val="0"/>
          <w:marTop w:val="0"/>
          <w:marBottom w:val="0"/>
          <w:divBdr>
            <w:top w:val="none" w:sz="0" w:space="0" w:color="auto"/>
            <w:left w:val="none" w:sz="0" w:space="0" w:color="auto"/>
            <w:bottom w:val="none" w:sz="0" w:space="0" w:color="auto"/>
            <w:right w:val="none" w:sz="0" w:space="0" w:color="auto"/>
          </w:divBdr>
          <w:divsChild>
            <w:div w:id="1941257309">
              <w:marLeft w:val="0"/>
              <w:marRight w:val="0"/>
              <w:marTop w:val="0"/>
              <w:marBottom w:val="0"/>
              <w:divBdr>
                <w:top w:val="none" w:sz="0" w:space="0" w:color="auto"/>
                <w:left w:val="none" w:sz="0" w:space="0" w:color="auto"/>
                <w:bottom w:val="none" w:sz="0" w:space="0" w:color="auto"/>
                <w:right w:val="none" w:sz="0" w:space="0" w:color="auto"/>
              </w:divBdr>
              <w:divsChild>
                <w:div w:id="7797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inberg.northwestern.edu/compliance/resources/coi-and-prof-integrity/coi-policy-page.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me.org/sites/default/files/null/90_ACCME%20Process%20for%20Handling%20Complaints%20Regarding%20ACCME%20Accredited%20Providers_2010122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me.northwestern.edu" TargetMode="External"/><Relationship Id="rId4" Type="http://schemas.openxmlformats.org/officeDocument/2006/relationships/settings" Target="settings.xml"/><Relationship Id="rId9" Type="http://schemas.openxmlformats.org/officeDocument/2006/relationships/hyperlink" Target="http://www.accm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B560A-6469-4C98-BBBA-34304D8B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1944</Words>
  <Characters>12077</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University’s Feinberg School of Medicine</vt:lpstr>
    </vt:vector>
  </TitlesOfParts>
  <Company>Feinberg School of Medicine</Company>
  <LinksUpToDate>false</LinksUpToDate>
  <CharactersWithSpaces>13994</CharactersWithSpaces>
  <SharedDoc>false</SharedDoc>
  <HLinks>
    <vt:vector size="336" baseType="variant">
      <vt:variant>
        <vt:i4>2752564</vt:i4>
      </vt:variant>
      <vt:variant>
        <vt:i4>2301</vt:i4>
      </vt:variant>
      <vt:variant>
        <vt:i4>0</vt:i4>
      </vt:variant>
      <vt:variant>
        <vt:i4>5</vt:i4>
      </vt:variant>
      <vt:variant>
        <vt:lpwstr>http://www.accme.org/index.cfm/fa/faq.home/Faq.cfm</vt:lpwstr>
      </vt:variant>
      <vt:variant>
        <vt:lpwstr/>
      </vt:variant>
      <vt:variant>
        <vt:i4>3604521</vt:i4>
      </vt:variant>
      <vt:variant>
        <vt:i4>2298</vt:i4>
      </vt:variant>
      <vt:variant>
        <vt:i4>0</vt:i4>
      </vt:variant>
      <vt:variant>
        <vt:i4>5</vt:i4>
      </vt:variant>
      <vt:variant>
        <vt:lpwstr>http://www.cme.northwestern.edu/conference-tools/index.html</vt:lpwstr>
      </vt:variant>
      <vt:variant>
        <vt:lpwstr/>
      </vt:variant>
      <vt:variant>
        <vt:i4>6422631</vt:i4>
      </vt:variant>
      <vt:variant>
        <vt:i4>2295</vt:i4>
      </vt:variant>
      <vt:variant>
        <vt:i4>0</vt:i4>
      </vt:variant>
      <vt:variant>
        <vt:i4>5</vt:i4>
      </vt:variant>
      <vt:variant>
        <vt:lpwstr>http://www.cme.northwestern.edu/index.html</vt:lpwstr>
      </vt:variant>
      <vt:variant>
        <vt:lpwstr/>
      </vt:variant>
      <vt:variant>
        <vt:i4>4587609</vt:i4>
      </vt:variant>
      <vt:variant>
        <vt:i4>2292</vt:i4>
      </vt:variant>
      <vt:variant>
        <vt:i4>0</vt:i4>
      </vt:variant>
      <vt:variant>
        <vt:i4>5</vt:i4>
      </vt:variant>
      <vt:variant>
        <vt:lpwstr>http://www.cmecoalition.org/</vt:lpwstr>
      </vt:variant>
      <vt:variant>
        <vt:lpwstr/>
      </vt:variant>
      <vt:variant>
        <vt:i4>983151</vt:i4>
      </vt:variant>
      <vt:variant>
        <vt:i4>1572</vt:i4>
      </vt:variant>
      <vt:variant>
        <vt:i4>0</vt:i4>
      </vt:variant>
      <vt:variant>
        <vt:i4>5</vt:i4>
      </vt:variant>
      <vt:variant>
        <vt:lpwstr>http://www.accme.org/dir_docs/doc_upload/5425eedc-f494-4859-9451-e3b1cfabbeb8_uploaddocument.pdf</vt:lpwstr>
      </vt:variant>
      <vt:variant>
        <vt:lpwstr/>
      </vt:variant>
      <vt:variant>
        <vt:i4>5439512</vt:i4>
      </vt:variant>
      <vt:variant>
        <vt:i4>264</vt:i4>
      </vt:variant>
      <vt:variant>
        <vt:i4>0</vt:i4>
      </vt:variant>
      <vt:variant>
        <vt:i4>5</vt:i4>
      </vt:variant>
      <vt:variant>
        <vt:lpwstr>http://www.cme.northwestern.edu/guidelinesforplanning/index.html</vt:lpwstr>
      </vt:variant>
      <vt:variant>
        <vt:lpwstr/>
      </vt:variant>
      <vt:variant>
        <vt:i4>5439512</vt:i4>
      </vt:variant>
      <vt:variant>
        <vt:i4>261</vt:i4>
      </vt:variant>
      <vt:variant>
        <vt:i4>0</vt:i4>
      </vt:variant>
      <vt:variant>
        <vt:i4>5</vt:i4>
      </vt:variant>
      <vt:variant>
        <vt:lpwstr>http://www.cme.northwestern.edu/guidelinesforplanning/index.html</vt:lpwstr>
      </vt:variant>
      <vt:variant>
        <vt:lpwstr/>
      </vt:variant>
      <vt:variant>
        <vt:i4>3801152</vt:i4>
      </vt:variant>
      <vt:variant>
        <vt:i4>258</vt:i4>
      </vt:variant>
      <vt:variant>
        <vt:i4>0</vt:i4>
      </vt:variant>
      <vt:variant>
        <vt:i4>5</vt:i4>
      </vt:variant>
      <vt:variant>
        <vt:lpwstr>mailto:g-napier@northwestern.edu</vt:lpwstr>
      </vt:variant>
      <vt:variant>
        <vt:lpwstr/>
      </vt:variant>
      <vt:variant>
        <vt:i4>983151</vt:i4>
      </vt:variant>
      <vt:variant>
        <vt:i4>255</vt:i4>
      </vt:variant>
      <vt:variant>
        <vt:i4>0</vt:i4>
      </vt:variant>
      <vt:variant>
        <vt:i4>5</vt:i4>
      </vt:variant>
      <vt:variant>
        <vt:lpwstr>http://www.accme.org/dir_docs/doc_upload/5425eedc-f494-4859-9451-e3b1cfabbeb8_uploaddocument.pdf</vt:lpwstr>
      </vt:variant>
      <vt:variant>
        <vt:lpwstr/>
      </vt:variant>
      <vt:variant>
        <vt:i4>4784128</vt:i4>
      </vt:variant>
      <vt:variant>
        <vt:i4>252</vt:i4>
      </vt:variant>
      <vt:variant>
        <vt:i4>0</vt:i4>
      </vt:variant>
      <vt:variant>
        <vt:i4>5</vt:i4>
      </vt:variant>
      <vt:variant>
        <vt:lpwstr>http://www.feinberg.northwestern.edu/finance/formspay.html</vt:lpwstr>
      </vt:variant>
      <vt:variant>
        <vt:lpwstr>add</vt:lpwstr>
      </vt:variant>
      <vt:variant>
        <vt:i4>4456450</vt:i4>
      </vt:variant>
      <vt:variant>
        <vt:i4>249</vt:i4>
      </vt:variant>
      <vt:variant>
        <vt:i4>0</vt:i4>
      </vt:variant>
      <vt:variant>
        <vt:i4>5</vt:i4>
      </vt:variant>
      <vt:variant>
        <vt:lpwstr>http://www.accme.org/</vt:lpwstr>
      </vt:variant>
      <vt:variant>
        <vt:lpwstr/>
      </vt:variant>
      <vt:variant>
        <vt:i4>2883630</vt:i4>
      </vt:variant>
      <vt:variant>
        <vt:i4>246</vt:i4>
      </vt:variant>
      <vt:variant>
        <vt:i4>0</vt:i4>
      </vt:variant>
      <vt:variant>
        <vt:i4>5</vt:i4>
      </vt:variant>
      <vt:variant>
        <vt:lpwstr>http://www.feinberg.northwestern.edu/compliance/index.html</vt:lpwstr>
      </vt:variant>
      <vt:variant>
        <vt:lpwstr>coi-links</vt:lpwstr>
      </vt:variant>
      <vt:variant>
        <vt:i4>5439512</vt:i4>
      </vt:variant>
      <vt:variant>
        <vt:i4>243</vt:i4>
      </vt:variant>
      <vt:variant>
        <vt:i4>0</vt:i4>
      </vt:variant>
      <vt:variant>
        <vt:i4>5</vt:i4>
      </vt:variant>
      <vt:variant>
        <vt:lpwstr>http://www.cme.northwestern.edu/guidelinesforplanning/index.html</vt:lpwstr>
      </vt:variant>
      <vt:variant>
        <vt:lpwstr/>
      </vt:variant>
      <vt:variant>
        <vt:i4>3801152</vt:i4>
      </vt:variant>
      <vt:variant>
        <vt:i4>240</vt:i4>
      </vt:variant>
      <vt:variant>
        <vt:i4>0</vt:i4>
      </vt:variant>
      <vt:variant>
        <vt:i4>5</vt:i4>
      </vt:variant>
      <vt:variant>
        <vt:lpwstr>mailto:g-napier@northwestern.edu</vt:lpwstr>
      </vt:variant>
      <vt:variant>
        <vt:lpwstr/>
      </vt:variant>
      <vt:variant>
        <vt:i4>6225943</vt:i4>
      </vt:variant>
      <vt:variant>
        <vt:i4>237</vt:i4>
      </vt:variant>
      <vt:variant>
        <vt:i4>0</vt:i4>
      </vt:variant>
      <vt:variant>
        <vt:i4>5</vt:i4>
      </vt:variant>
      <vt:variant>
        <vt:lpwstr>http://www.cme.northwestern.edu/</vt:lpwstr>
      </vt:variant>
      <vt:variant>
        <vt:lpwstr/>
      </vt:variant>
      <vt:variant>
        <vt:i4>2883630</vt:i4>
      </vt:variant>
      <vt:variant>
        <vt:i4>234</vt:i4>
      </vt:variant>
      <vt:variant>
        <vt:i4>0</vt:i4>
      </vt:variant>
      <vt:variant>
        <vt:i4>5</vt:i4>
      </vt:variant>
      <vt:variant>
        <vt:lpwstr>http://www.feinberg.northwestern.edu/compliance/index.html</vt:lpwstr>
      </vt:variant>
      <vt:variant>
        <vt:lpwstr>coi-links</vt:lpwstr>
      </vt:variant>
      <vt:variant>
        <vt:i4>5439572</vt:i4>
      </vt:variant>
      <vt:variant>
        <vt:i4>231</vt:i4>
      </vt:variant>
      <vt:variant>
        <vt:i4>0</vt:i4>
      </vt:variant>
      <vt:variant>
        <vt:i4>5</vt:i4>
      </vt:variant>
      <vt:variant>
        <vt:lpwstr>http://www.feinberg.northwestern.edu/compliance/links</vt:lpwstr>
      </vt:variant>
      <vt:variant>
        <vt:lpwstr/>
      </vt:variant>
      <vt:variant>
        <vt:i4>1245235</vt:i4>
      </vt:variant>
      <vt:variant>
        <vt:i4>224</vt:i4>
      </vt:variant>
      <vt:variant>
        <vt:i4>0</vt:i4>
      </vt:variant>
      <vt:variant>
        <vt:i4>5</vt:i4>
      </vt:variant>
      <vt:variant>
        <vt:lpwstr/>
      </vt:variant>
      <vt:variant>
        <vt:lpwstr>_Toc400011652</vt:lpwstr>
      </vt:variant>
      <vt:variant>
        <vt:i4>1245235</vt:i4>
      </vt:variant>
      <vt:variant>
        <vt:i4>218</vt:i4>
      </vt:variant>
      <vt:variant>
        <vt:i4>0</vt:i4>
      </vt:variant>
      <vt:variant>
        <vt:i4>5</vt:i4>
      </vt:variant>
      <vt:variant>
        <vt:lpwstr/>
      </vt:variant>
      <vt:variant>
        <vt:lpwstr>_Toc400011651</vt:lpwstr>
      </vt:variant>
      <vt:variant>
        <vt:i4>1245235</vt:i4>
      </vt:variant>
      <vt:variant>
        <vt:i4>212</vt:i4>
      </vt:variant>
      <vt:variant>
        <vt:i4>0</vt:i4>
      </vt:variant>
      <vt:variant>
        <vt:i4>5</vt:i4>
      </vt:variant>
      <vt:variant>
        <vt:lpwstr/>
      </vt:variant>
      <vt:variant>
        <vt:lpwstr>_Toc400011650</vt:lpwstr>
      </vt:variant>
      <vt:variant>
        <vt:i4>1179699</vt:i4>
      </vt:variant>
      <vt:variant>
        <vt:i4>206</vt:i4>
      </vt:variant>
      <vt:variant>
        <vt:i4>0</vt:i4>
      </vt:variant>
      <vt:variant>
        <vt:i4>5</vt:i4>
      </vt:variant>
      <vt:variant>
        <vt:lpwstr/>
      </vt:variant>
      <vt:variant>
        <vt:lpwstr>_Toc400011649</vt:lpwstr>
      </vt:variant>
      <vt:variant>
        <vt:i4>1179699</vt:i4>
      </vt:variant>
      <vt:variant>
        <vt:i4>200</vt:i4>
      </vt:variant>
      <vt:variant>
        <vt:i4>0</vt:i4>
      </vt:variant>
      <vt:variant>
        <vt:i4>5</vt:i4>
      </vt:variant>
      <vt:variant>
        <vt:lpwstr/>
      </vt:variant>
      <vt:variant>
        <vt:lpwstr>_Toc400011648</vt:lpwstr>
      </vt:variant>
      <vt:variant>
        <vt:i4>1179699</vt:i4>
      </vt:variant>
      <vt:variant>
        <vt:i4>194</vt:i4>
      </vt:variant>
      <vt:variant>
        <vt:i4>0</vt:i4>
      </vt:variant>
      <vt:variant>
        <vt:i4>5</vt:i4>
      </vt:variant>
      <vt:variant>
        <vt:lpwstr/>
      </vt:variant>
      <vt:variant>
        <vt:lpwstr>_Toc400011647</vt:lpwstr>
      </vt:variant>
      <vt:variant>
        <vt:i4>1179699</vt:i4>
      </vt:variant>
      <vt:variant>
        <vt:i4>188</vt:i4>
      </vt:variant>
      <vt:variant>
        <vt:i4>0</vt:i4>
      </vt:variant>
      <vt:variant>
        <vt:i4>5</vt:i4>
      </vt:variant>
      <vt:variant>
        <vt:lpwstr/>
      </vt:variant>
      <vt:variant>
        <vt:lpwstr>_Toc400011646</vt:lpwstr>
      </vt:variant>
      <vt:variant>
        <vt:i4>1179699</vt:i4>
      </vt:variant>
      <vt:variant>
        <vt:i4>182</vt:i4>
      </vt:variant>
      <vt:variant>
        <vt:i4>0</vt:i4>
      </vt:variant>
      <vt:variant>
        <vt:i4>5</vt:i4>
      </vt:variant>
      <vt:variant>
        <vt:lpwstr/>
      </vt:variant>
      <vt:variant>
        <vt:lpwstr>_Toc400011645</vt:lpwstr>
      </vt:variant>
      <vt:variant>
        <vt:i4>1179699</vt:i4>
      </vt:variant>
      <vt:variant>
        <vt:i4>176</vt:i4>
      </vt:variant>
      <vt:variant>
        <vt:i4>0</vt:i4>
      </vt:variant>
      <vt:variant>
        <vt:i4>5</vt:i4>
      </vt:variant>
      <vt:variant>
        <vt:lpwstr/>
      </vt:variant>
      <vt:variant>
        <vt:lpwstr>_Toc400011644</vt:lpwstr>
      </vt:variant>
      <vt:variant>
        <vt:i4>1179699</vt:i4>
      </vt:variant>
      <vt:variant>
        <vt:i4>170</vt:i4>
      </vt:variant>
      <vt:variant>
        <vt:i4>0</vt:i4>
      </vt:variant>
      <vt:variant>
        <vt:i4>5</vt:i4>
      </vt:variant>
      <vt:variant>
        <vt:lpwstr/>
      </vt:variant>
      <vt:variant>
        <vt:lpwstr>_Toc400011643</vt:lpwstr>
      </vt:variant>
      <vt:variant>
        <vt:i4>1179699</vt:i4>
      </vt:variant>
      <vt:variant>
        <vt:i4>164</vt:i4>
      </vt:variant>
      <vt:variant>
        <vt:i4>0</vt:i4>
      </vt:variant>
      <vt:variant>
        <vt:i4>5</vt:i4>
      </vt:variant>
      <vt:variant>
        <vt:lpwstr/>
      </vt:variant>
      <vt:variant>
        <vt:lpwstr>_Toc400011642</vt:lpwstr>
      </vt:variant>
      <vt:variant>
        <vt:i4>1179699</vt:i4>
      </vt:variant>
      <vt:variant>
        <vt:i4>158</vt:i4>
      </vt:variant>
      <vt:variant>
        <vt:i4>0</vt:i4>
      </vt:variant>
      <vt:variant>
        <vt:i4>5</vt:i4>
      </vt:variant>
      <vt:variant>
        <vt:lpwstr/>
      </vt:variant>
      <vt:variant>
        <vt:lpwstr>_Toc400011641</vt:lpwstr>
      </vt:variant>
      <vt:variant>
        <vt:i4>1179699</vt:i4>
      </vt:variant>
      <vt:variant>
        <vt:i4>152</vt:i4>
      </vt:variant>
      <vt:variant>
        <vt:i4>0</vt:i4>
      </vt:variant>
      <vt:variant>
        <vt:i4>5</vt:i4>
      </vt:variant>
      <vt:variant>
        <vt:lpwstr/>
      </vt:variant>
      <vt:variant>
        <vt:lpwstr>_Toc400011640</vt:lpwstr>
      </vt:variant>
      <vt:variant>
        <vt:i4>1376307</vt:i4>
      </vt:variant>
      <vt:variant>
        <vt:i4>146</vt:i4>
      </vt:variant>
      <vt:variant>
        <vt:i4>0</vt:i4>
      </vt:variant>
      <vt:variant>
        <vt:i4>5</vt:i4>
      </vt:variant>
      <vt:variant>
        <vt:lpwstr/>
      </vt:variant>
      <vt:variant>
        <vt:lpwstr>_Toc400011639</vt:lpwstr>
      </vt:variant>
      <vt:variant>
        <vt:i4>1376307</vt:i4>
      </vt:variant>
      <vt:variant>
        <vt:i4>140</vt:i4>
      </vt:variant>
      <vt:variant>
        <vt:i4>0</vt:i4>
      </vt:variant>
      <vt:variant>
        <vt:i4>5</vt:i4>
      </vt:variant>
      <vt:variant>
        <vt:lpwstr/>
      </vt:variant>
      <vt:variant>
        <vt:lpwstr>_Toc400011638</vt:lpwstr>
      </vt:variant>
      <vt:variant>
        <vt:i4>1376307</vt:i4>
      </vt:variant>
      <vt:variant>
        <vt:i4>134</vt:i4>
      </vt:variant>
      <vt:variant>
        <vt:i4>0</vt:i4>
      </vt:variant>
      <vt:variant>
        <vt:i4>5</vt:i4>
      </vt:variant>
      <vt:variant>
        <vt:lpwstr/>
      </vt:variant>
      <vt:variant>
        <vt:lpwstr>_Toc400011637</vt:lpwstr>
      </vt:variant>
      <vt:variant>
        <vt:i4>1376307</vt:i4>
      </vt:variant>
      <vt:variant>
        <vt:i4>128</vt:i4>
      </vt:variant>
      <vt:variant>
        <vt:i4>0</vt:i4>
      </vt:variant>
      <vt:variant>
        <vt:i4>5</vt:i4>
      </vt:variant>
      <vt:variant>
        <vt:lpwstr/>
      </vt:variant>
      <vt:variant>
        <vt:lpwstr>_Toc400011636</vt:lpwstr>
      </vt:variant>
      <vt:variant>
        <vt:i4>1376307</vt:i4>
      </vt:variant>
      <vt:variant>
        <vt:i4>122</vt:i4>
      </vt:variant>
      <vt:variant>
        <vt:i4>0</vt:i4>
      </vt:variant>
      <vt:variant>
        <vt:i4>5</vt:i4>
      </vt:variant>
      <vt:variant>
        <vt:lpwstr/>
      </vt:variant>
      <vt:variant>
        <vt:lpwstr>_Toc400011635</vt:lpwstr>
      </vt:variant>
      <vt:variant>
        <vt:i4>1376307</vt:i4>
      </vt:variant>
      <vt:variant>
        <vt:i4>116</vt:i4>
      </vt:variant>
      <vt:variant>
        <vt:i4>0</vt:i4>
      </vt:variant>
      <vt:variant>
        <vt:i4>5</vt:i4>
      </vt:variant>
      <vt:variant>
        <vt:lpwstr/>
      </vt:variant>
      <vt:variant>
        <vt:lpwstr>_Toc400011634</vt:lpwstr>
      </vt:variant>
      <vt:variant>
        <vt:i4>1376307</vt:i4>
      </vt:variant>
      <vt:variant>
        <vt:i4>110</vt:i4>
      </vt:variant>
      <vt:variant>
        <vt:i4>0</vt:i4>
      </vt:variant>
      <vt:variant>
        <vt:i4>5</vt:i4>
      </vt:variant>
      <vt:variant>
        <vt:lpwstr/>
      </vt:variant>
      <vt:variant>
        <vt:lpwstr>_Toc400011633</vt:lpwstr>
      </vt:variant>
      <vt:variant>
        <vt:i4>1376307</vt:i4>
      </vt:variant>
      <vt:variant>
        <vt:i4>104</vt:i4>
      </vt:variant>
      <vt:variant>
        <vt:i4>0</vt:i4>
      </vt:variant>
      <vt:variant>
        <vt:i4>5</vt:i4>
      </vt:variant>
      <vt:variant>
        <vt:lpwstr/>
      </vt:variant>
      <vt:variant>
        <vt:lpwstr>_Toc400011632</vt:lpwstr>
      </vt:variant>
      <vt:variant>
        <vt:i4>1376307</vt:i4>
      </vt:variant>
      <vt:variant>
        <vt:i4>98</vt:i4>
      </vt:variant>
      <vt:variant>
        <vt:i4>0</vt:i4>
      </vt:variant>
      <vt:variant>
        <vt:i4>5</vt:i4>
      </vt:variant>
      <vt:variant>
        <vt:lpwstr/>
      </vt:variant>
      <vt:variant>
        <vt:lpwstr>_Toc400011631</vt:lpwstr>
      </vt:variant>
      <vt:variant>
        <vt:i4>1376307</vt:i4>
      </vt:variant>
      <vt:variant>
        <vt:i4>92</vt:i4>
      </vt:variant>
      <vt:variant>
        <vt:i4>0</vt:i4>
      </vt:variant>
      <vt:variant>
        <vt:i4>5</vt:i4>
      </vt:variant>
      <vt:variant>
        <vt:lpwstr/>
      </vt:variant>
      <vt:variant>
        <vt:lpwstr>_Toc400011630</vt:lpwstr>
      </vt:variant>
      <vt:variant>
        <vt:i4>1310771</vt:i4>
      </vt:variant>
      <vt:variant>
        <vt:i4>86</vt:i4>
      </vt:variant>
      <vt:variant>
        <vt:i4>0</vt:i4>
      </vt:variant>
      <vt:variant>
        <vt:i4>5</vt:i4>
      </vt:variant>
      <vt:variant>
        <vt:lpwstr/>
      </vt:variant>
      <vt:variant>
        <vt:lpwstr>_Toc400011629</vt:lpwstr>
      </vt:variant>
      <vt:variant>
        <vt:i4>1310771</vt:i4>
      </vt:variant>
      <vt:variant>
        <vt:i4>80</vt:i4>
      </vt:variant>
      <vt:variant>
        <vt:i4>0</vt:i4>
      </vt:variant>
      <vt:variant>
        <vt:i4>5</vt:i4>
      </vt:variant>
      <vt:variant>
        <vt:lpwstr/>
      </vt:variant>
      <vt:variant>
        <vt:lpwstr>_Toc400011628</vt:lpwstr>
      </vt:variant>
      <vt:variant>
        <vt:i4>1310771</vt:i4>
      </vt:variant>
      <vt:variant>
        <vt:i4>74</vt:i4>
      </vt:variant>
      <vt:variant>
        <vt:i4>0</vt:i4>
      </vt:variant>
      <vt:variant>
        <vt:i4>5</vt:i4>
      </vt:variant>
      <vt:variant>
        <vt:lpwstr/>
      </vt:variant>
      <vt:variant>
        <vt:lpwstr>_Toc400011627</vt:lpwstr>
      </vt:variant>
      <vt:variant>
        <vt:i4>1310771</vt:i4>
      </vt:variant>
      <vt:variant>
        <vt:i4>68</vt:i4>
      </vt:variant>
      <vt:variant>
        <vt:i4>0</vt:i4>
      </vt:variant>
      <vt:variant>
        <vt:i4>5</vt:i4>
      </vt:variant>
      <vt:variant>
        <vt:lpwstr/>
      </vt:variant>
      <vt:variant>
        <vt:lpwstr>_Toc400011626</vt:lpwstr>
      </vt:variant>
      <vt:variant>
        <vt:i4>1310771</vt:i4>
      </vt:variant>
      <vt:variant>
        <vt:i4>62</vt:i4>
      </vt:variant>
      <vt:variant>
        <vt:i4>0</vt:i4>
      </vt:variant>
      <vt:variant>
        <vt:i4>5</vt:i4>
      </vt:variant>
      <vt:variant>
        <vt:lpwstr/>
      </vt:variant>
      <vt:variant>
        <vt:lpwstr>_Toc400011625</vt:lpwstr>
      </vt:variant>
      <vt:variant>
        <vt:i4>1310771</vt:i4>
      </vt:variant>
      <vt:variant>
        <vt:i4>56</vt:i4>
      </vt:variant>
      <vt:variant>
        <vt:i4>0</vt:i4>
      </vt:variant>
      <vt:variant>
        <vt:i4>5</vt:i4>
      </vt:variant>
      <vt:variant>
        <vt:lpwstr/>
      </vt:variant>
      <vt:variant>
        <vt:lpwstr>_Toc400011624</vt:lpwstr>
      </vt:variant>
      <vt:variant>
        <vt:i4>1310771</vt:i4>
      </vt:variant>
      <vt:variant>
        <vt:i4>50</vt:i4>
      </vt:variant>
      <vt:variant>
        <vt:i4>0</vt:i4>
      </vt:variant>
      <vt:variant>
        <vt:i4>5</vt:i4>
      </vt:variant>
      <vt:variant>
        <vt:lpwstr/>
      </vt:variant>
      <vt:variant>
        <vt:lpwstr>_Toc400011623</vt:lpwstr>
      </vt:variant>
      <vt:variant>
        <vt:i4>1310771</vt:i4>
      </vt:variant>
      <vt:variant>
        <vt:i4>44</vt:i4>
      </vt:variant>
      <vt:variant>
        <vt:i4>0</vt:i4>
      </vt:variant>
      <vt:variant>
        <vt:i4>5</vt:i4>
      </vt:variant>
      <vt:variant>
        <vt:lpwstr/>
      </vt:variant>
      <vt:variant>
        <vt:lpwstr>_Toc400011622</vt:lpwstr>
      </vt:variant>
      <vt:variant>
        <vt:i4>1310771</vt:i4>
      </vt:variant>
      <vt:variant>
        <vt:i4>38</vt:i4>
      </vt:variant>
      <vt:variant>
        <vt:i4>0</vt:i4>
      </vt:variant>
      <vt:variant>
        <vt:i4>5</vt:i4>
      </vt:variant>
      <vt:variant>
        <vt:lpwstr/>
      </vt:variant>
      <vt:variant>
        <vt:lpwstr>_Toc400011621</vt:lpwstr>
      </vt:variant>
      <vt:variant>
        <vt:i4>1310771</vt:i4>
      </vt:variant>
      <vt:variant>
        <vt:i4>32</vt:i4>
      </vt:variant>
      <vt:variant>
        <vt:i4>0</vt:i4>
      </vt:variant>
      <vt:variant>
        <vt:i4>5</vt:i4>
      </vt:variant>
      <vt:variant>
        <vt:lpwstr/>
      </vt:variant>
      <vt:variant>
        <vt:lpwstr>_Toc400011620</vt:lpwstr>
      </vt:variant>
      <vt:variant>
        <vt:i4>1507379</vt:i4>
      </vt:variant>
      <vt:variant>
        <vt:i4>26</vt:i4>
      </vt:variant>
      <vt:variant>
        <vt:i4>0</vt:i4>
      </vt:variant>
      <vt:variant>
        <vt:i4>5</vt:i4>
      </vt:variant>
      <vt:variant>
        <vt:lpwstr/>
      </vt:variant>
      <vt:variant>
        <vt:lpwstr>_Toc400011619</vt:lpwstr>
      </vt:variant>
      <vt:variant>
        <vt:i4>1507379</vt:i4>
      </vt:variant>
      <vt:variant>
        <vt:i4>20</vt:i4>
      </vt:variant>
      <vt:variant>
        <vt:i4>0</vt:i4>
      </vt:variant>
      <vt:variant>
        <vt:i4>5</vt:i4>
      </vt:variant>
      <vt:variant>
        <vt:lpwstr/>
      </vt:variant>
      <vt:variant>
        <vt:lpwstr>_Toc400011618</vt:lpwstr>
      </vt:variant>
      <vt:variant>
        <vt:i4>1507379</vt:i4>
      </vt:variant>
      <vt:variant>
        <vt:i4>14</vt:i4>
      </vt:variant>
      <vt:variant>
        <vt:i4>0</vt:i4>
      </vt:variant>
      <vt:variant>
        <vt:i4>5</vt:i4>
      </vt:variant>
      <vt:variant>
        <vt:lpwstr/>
      </vt:variant>
      <vt:variant>
        <vt:lpwstr>_Toc400011617</vt:lpwstr>
      </vt:variant>
      <vt:variant>
        <vt:i4>1507379</vt:i4>
      </vt:variant>
      <vt:variant>
        <vt:i4>8</vt:i4>
      </vt:variant>
      <vt:variant>
        <vt:i4>0</vt:i4>
      </vt:variant>
      <vt:variant>
        <vt:i4>5</vt:i4>
      </vt:variant>
      <vt:variant>
        <vt:lpwstr/>
      </vt:variant>
      <vt:variant>
        <vt:lpwstr>_Toc400011616</vt:lpwstr>
      </vt:variant>
      <vt:variant>
        <vt:i4>5439512</vt:i4>
      </vt:variant>
      <vt:variant>
        <vt:i4>3</vt:i4>
      </vt:variant>
      <vt:variant>
        <vt:i4>0</vt:i4>
      </vt:variant>
      <vt:variant>
        <vt:i4>5</vt:i4>
      </vt:variant>
      <vt:variant>
        <vt:lpwstr>http://www.cme.northwestern.edu/guidelinesforplanning/index.html</vt:lpwstr>
      </vt:variant>
      <vt:variant>
        <vt:lpwstr/>
      </vt:variant>
      <vt:variant>
        <vt:i4>3801152</vt:i4>
      </vt:variant>
      <vt:variant>
        <vt:i4>0</vt:i4>
      </vt:variant>
      <vt:variant>
        <vt:i4>0</vt:i4>
      </vt:variant>
      <vt:variant>
        <vt:i4>5</vt:i4>
      </vt:variant>
      <vt:variant>
        <vt:lpwstr>mailto:g-napier@northwestern.edu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University’s Feinberg School of Medicine</dc:title>
  <dc:creator>Napier, Genevieve FSM</dc:creator>
  <cp:lastModifiedBy>Sheryl A Corey</cp:lastModifiedBy>
  <cp:revision>2</cp:revision>
  <cp:lastPrinted>2016-12-19T19:35:00Z</cp:lastPrinted>
  <dcterms:created xsi:type="dcterms:W3CDTF">2017-08-03T21:28:00Z</dcterms:created>
  <dcterms:modified xsi:type="dcterms:W3CDTF">2017-08-03T21:28:00Z</dcterms:modified>
</cp:coreProperties>
</file>